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244B2" w14:textId="77777777" w:rsidR="005B3E96" w:rsidRDefault="005B3E96" w:rsidP="005B3E96">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SAFE TO WORK</w:t>
      </w:r>
      <w:r w:rsidRPr="00A53559">
        <w:rPr>
          <w:rFonts w:ascii="Times New Roman" w:hAnsi="Times New Roman" w:cs="Times New Roman"/>
          <w:b/>
          <w:sz w:val="48"/>
          <w:szCs w:val="48"/>
        </w:rPr>
        <w:t xml:space="preserve"> Act</w:t>
      </w:r>
    </w:p>
    <w:p w14:paraId="714239C0" w14:textId="77777777" w:rsidR="005B3E96" w:rsidRPr="00623420" w:rsidRDefault="005B3E96" w:rsidP="005B3E96">
      <w:pPr>
        <w:spacing w:after="0" w:line="240" w:lineRule="auto"/>
        <w:jc w:val="center"/>
        <w:rPr>
          <w:rFonts w:ascii="Times New Roman" w:hAnsi="Times New Roman" w:cs="Times New Roman"/>
          <w:b/>
          <w:sz w:val="26"/>
          <w:szCs w:val="26"/>
        </w:rPr>
      </w:pPr>
      <w:r w:rsidRPr="00623420">
        <w:rPr>
          <w:rFonts w:ascii="Times New Roman" w:hAnsi="Times New Roman" w:cs="Times New Roman"/>
          <w:b/>
          <w:sz w:val="26"/>
          <w:szCs w:val="26"/>
        </w:rPr>
        <w:t xml:space="preserve">Safeguarding America’s Frontline Employees </w:t>
      </w:r>
    </w:p>
    <w:p w14:paraId="14AE79D5" w14:textId="77777777" w:rsidR="005B3E96" w:rsidRPr="005B3E96" w:rsidRDefault="005B3E96" w:rsidP="005B3E96">
      <w:pPr>
        <w:spacing w:line="240" w:lineRule="auto"/>
        <w:jc w:val="center"/>
        <w:rPr>
          <w:rFonts w:ascii="Times New Roman" w:hAnsi="Times New Roman" w:cs="Times New Roman"/>
          <w:b/>
          <w:sz w:val="26"/>
          <w:szCs w:val="26"/>
        </w:rPr>
      </w:pPr>
      <w:r w:rsidRPr="00623420">
        <w:rPr>
          <w:rFonts w:ascii="Times New Roman" w:hAnsi="Times New Roman" w:cs="Times New Roman"/>
          <w:b/>
          <w:sz w:val="26"/>
          <w:szCs w:val="26"/>
        </w:rPr>
        <w:t>To Offer W</w:t>
      </w:r>
      <w:r>
        <w:rPr>
          <w:rFonts w:ascii="Times New Roman" w:hAnsi="Times New Roman" w:cs="Times New Roman"/>
          <w:b/>
          <w:sz w:val="26"/>
          <w:szCs w:val="26"/>
        </w:rPr>
        <w:t xml:space="preserve">ork Opportunities Required to </w:t>
      </w:r>
      <w:proofErr w:type="spellStart"/>
      <w:r>
        <w:rPr>
          <w:rFonts w:ascii="Times New Roman" w:hAnsi="Times New Roman" w:cs="Times New Roman"/>
          <w:b/>
          <w:sz w:val="26"/>
          <w:szCs w:val="26"/>
        </w:rPr>
        <w:t>Kickstart</w:t>
      </w:r>
      <w:proofErr w:type="spellEnd"/>
      <w:r>
        <w:rPr>
          <w:rFonts w:ascii="Times New Roman" w:hAnsi="Times New Roman" w:cs="Times New Roman"/>
          <w:b/>
          <w:sz w:val="26"/>
          <w:szCs w:val="26"/>
        </w:rPr>
        <w:t xml:space="preserve"> the economy</w:t>
      </w:r>
    </w:p>
    <w:p w14:paraId="04849642" w14:textId="4C38ADFC" w:rsidR="005B3E96" w:rsidRDefault="005B3E96" w:rsidP="005B3E96">
      <w:pPr>
        <w:spacing w:line="240" w:lineRule="auto"/>
        <w:jc w:val="both"/>
        <w:rPr>
          <w:rFonts w:ascii="Times New Roman" w:hAnsi="Times New Roman" w:cs="Times New Roman"/>
          <w:sz w:val="24"/>
          <w:szCs w:val="24"/>
        </w:rPr>
      </w:pPr>
      <w:r>
        <w:rPr>
          <w:rFonts w:ascii="Times New Roman" w:hAnsi="Times New Roman" w:cs="Times New Roman"/>
          <w:sz w:val="24"/>
          <w:szCs w:val="24"/>
        </w:rPr>
        <w:t>As essential businesses continue operations and a</w:t>
      </w:r>
      <w:r w:rsidRPr="005D47DD">
        <w:rPr>
          <w:rFonts w:ascii="Times New Roman" w:hAnsi="Times New Roman" w:cs="Times New Roman"/>
          <w:sz w:val="24"/>
          <w:szCs w:val="24"/>
        </w:rPr>
        <w:t>s</w:t>
      </w:r>
      <w:r>
        <w:rPr>
          <w:rFonts w:ascii="Times New Roman" w:hAnsi="Times New Roman" w:cs="Times New Roman"/>
          <w:sz w:val="24"/>
          <w:szCs w:val="24"/>
        </w:rPr>
        <w:t xml:space="preserve"> the American </w:t>
      </w:r>
      <w:proofErr w:type="gramStart"/>
      <w:r>
        <w:rPr>
          <w:rFonts w:ascii="Times New Roman" w:hAnsi="Times New Roman" w:cs="Times New Roman"/>
          <w:sz w:val="24"/>
          <w:szCs w:val="24"/>
        </w:rPr>
        <w:t>economy</w:t>
      </w:r>
      <w:proofErr w:type="gramEnd"/>
      <w:r>
        <w:rPr>
          <w:rFonts w:ascii="Times New Roman" w:hAnsi="Times New Roman" w:cs="Times New Roman"/>
          <w:sz w:val="24"/>
          <w:szCs w:val="24"/>
        </w:rPr>
        <w:t xml:space="preserve"> more broadly </w:t>
      </w:r>
      <w:r w:rsidR="00EB2781">
        <w:rPr>
          <w:rFonts w:ascii="Times New Roman" w:hAnsi="Times New Roman" w:cs="Times New Roman"/>
          <w:sz w:val="24"/>
          <w:szCs w:val="24"/>
        </w:rPr>
        <w:t>continues</w:t>
      </w:r>
      <w:r w:rsidRPr="005D47DD">
        <w:rPr>
          <w:rFonts w:ascii="Times New Roman" w:hAnsi="Times New Roman" w:cs="Times New Roman"/>
          <w:sz w:val="24"/>
          <w:szCs w:val="24"/>
        </w:rPr>
        <w:t xml:space="preserve"> re-opening, our businesses,</w:t>
      </w:r>
      <w:r>
        <w:rPr>
          <w:rFonts w:ascii="Times New Roman" w:hAnsi="Times New Roman" w:cs="Times New Roman"/>
          <w:sz w:val="24"/>
          <w:szCs w:val="24"/>
        </w:rPr>
        <w:t xml:space="preserve"> nonprofits, schools, colleges, universities, workers, and</w:t>
      </w:r>
      <w:r w:rsidRPr="005D47DD">
        <w:rPr>
          <w:rFonts w:ascii="Times New Roman" w:hAnsi="Times New Roman" w:cs="Times New Roman"/>
          <w:sz w:val="24"/>
          <w:szCs w:val="24"/>
        </w:rPr>
        <w:t xml:space="preserve"> health c</w:t>
      </w:r>
      <w:r>
        <w:rPr>
          <w:rFonts w:ascii="Times New Roman" w:hAnsi="Times New Roman" w:cs="Times New Roman"/>
          <w:sz w:val="24"/>
          <w:szCs w:val="24"/>
        </w:rPr>
        <w:t xml:space="preserve">are providers </w:t>
      </w:r>
      <w:r w:rsidRPr="005D47DD">
        <w:rPr>
          <w:rFonts w:ascii="Times New Roman" w:hAnsi="Times New Roman" w:cs="Times New Roman"/>
          <w:sz w:val="24"/>
          <w:szCs w:val="24"/>
        </w:rPr>
        <w:t xml:space="preserve">face a growing threat from abusive litigation. </w:t>
      </w:r>
      <w:r>
        <w:rPr>
          <w:rFonts w:ascii="Times New Roman" w:hAnsi="Times New Roman" w:cs="Times New Roman"/>
          <w:sz w:val="24"/>
          <w:szCs w:val="24"/>
        </w:rPr>
        <w:t xml:space="preserve">This litigation threatens the paychecks Americans have received to date, and their ability to start earning wages again if businesses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w:t>
      </w:r>
      <w:r w:rsidR="00EB2781">
        <w:rPr>
          <w:rFonts w:ascii="Times New Roman" w:hAnsi="Times New Roman" w:cs="Times New Roman"/>
          <w:sz w:val="24"/>
          <w:szCs w:val="24"/>
        </w:rPr>
        <w:t>fully participate in the economy</w:t>
      </w:r>
      <w:r>
        <w:rPr>
          <w:rFonts w:ascii="Times New Roman" w:hAnsi="Times New Roman" w:cs="Times New Roman"/>
          <w:sz w:val="24"/>
          <w:szCs w:val="24"/>
        </w:rPr>
        <w:t>.  Thousands</w:t>
      </w:r>
      <w:r w:rsidRPr="005D47DD">
        <w:rPr>
          <w:rFonts w:ascii="Times New Roman" w:hAnsi="Times New Roman" w:cs="Times New Roman"/>
          <w:sz w:val="24"/>
          <w:szCs w:val="24"/>
        </w:rPr>
        <w:t xml:space="preserve"> of </w:t>
      </w:r>
      <w:r w:rsidR="00DE7CD5">
        <w:rPr>
          <w:rFonts w:ascii="Times New Roman" w:hAnsi="Times New Roman" w:cs="Times New Roman"/>
          <w:sz w:val="24"/>
          <w:szCs w:val="24"/>
        </w:rPr>
        <w:t>coronavirus-related</w:t>
      </w:r>
      <w:r w:rsidRPr="005D47DD">
        <w:rPr>
          <w:rFonts w:ascii="Times New Roman" w:hAnsi="Times New Roman" w:cs="Times New Roman"/>
          <w:sz w:val="24"/>
          <w:szCs w:val="24"/>
        </w:rPr>
        <w:t xml:space="preserve"> lawsuits </w:t>
      </w:r>
      <w:proofErr w:type="gramStart"/>
      <w:r w:rsidRPr="005D47DD">
        <w:rPr>
          <w:rFonts w:ascii="Times New Roman" w:hAnsi="Times New Roman" w:cs="Times New Roman"/>
          <w:sz w:val="24"/>
          <w:szCs w:val="24"/>
        </w:rPr>
        <w:t>have already been file</w:t>
      </w:r>
      <w:r>
        <w:rPr>
          <w:rFonts w:ascii="Times New Roman" w:hAnsi="Times New Roman" w:cs="Times New Roman"/>
          <w:sz w:val="24"/>
          <w:szCs w:val="24"/>
        </w:rPr>
        <w:t>d</w:t>
      </w:r>
      <w:proofErr w:type="gramEnd"/>
      <w:r w:rsidRPr="005D47DD">
        <w:rPr>
          <w:rFonts w:ascii="Times New Roman" w:hAnsi="Times New Roman" w:cs="Times New Roman"/>
          <w:sz w:val="24"/>
          <w:szCs w:val="24"/>
        </w:rPr>
        <w:t>, and this trend shows no signs of slowing down. Even if many of these lawsuits are ultimately unsuccessful, they each have the potential to paralyze and bankrupt individuals</w:t>
      </w:r>
      <w:r>
        <w:rPr>
          <w:rFonts w:ascii="Times New Roman" w:hAnsi="Times New Roman" w:cs="Times New Roman"/>
          <w:sz w:val="24"/>
          <w:szCs w:val="24"/>
        </w:rPr>
        <w:t>,</w:t>
      </w:r>
      <w:r w:rsidRPr="005D47DD">
        <w:rPr>
          <w:rFonts w:ascii="Times New Roman" w:hAnsi="Times New Roman" w:cs="Times New Roman"/>
          <w:sz w:val="24"/>
          <w:szCs w:val="24"/>
        </w:rPr>
        <w:t xml:space="preserve"> businesses</w:t>
      </w:r>
      <w:r>
        <w:rPr>
          <w:rFonts w:ascii="Times New Roman" w:hAnsi="Times New Roman" w:cs="Times New Roman"/>
          <w:sz w:val="24"/>
          <w:szCs w:val="24"/>
        </w:rPr>
        <w:t>, and nonprofits</w:t>
      </w:r>
      <w:r w:rsidRPr="005D47DD">
        <w:rPr>
          <w:rFonts w:ascii="Times New Roman" w:hAnsi="Times New Roman" w:cs="Times New Roman"/>
          <w:sz w:val="24"/>
          <w:szCs w:val="24"/>
        </w:rPr>
        <w:t xml:space="preserve"> who are trying to do the right thi</w:t>
      </w:r>
      <w:r>
        <w:rPr>
          <w:rFonts w:ascii="Times New Roman" w:hAnsi="Times New Roman" w:cs="Times New Roman"/>
          <w:sz w:val="24"/>
          <w:szCs w:val="24"/>
        </w:rPr>
        <w:t>ng</w:t>
      </w:r>
      <w:r w:rsidR="0082680B">
        <w:rPr>
          <w:rFonts w:ascii="Times New Roman" w:hAnsi="Times New Roman" w:cs="Times New Roman"/>
          <w:sz w:val="24"/>
          <w:szCs w:val="24"/>
        </w:rPr>
        <w:t xml:space="preserve"> by getting kids back to school, parents back to work, and ensuring our health care system is strong</w:t>
      </w:r>
      <w:r>
        <w:rPr>
          <w:rFonts w:ascii="Times New Roman" w:hAnsi="Times New Roman" w:cs="Times New Roman"/>
          <w:sz w:val="24"/>
          <w:szCs w:val="24"/>
        </w:rPr>
        <w:t>. The everyday Americans</w:t>
      </w:r>
      <w:r w:rsidRPr="005D47DD">
        <w:rPr>
          <w:rFonts w:ascii="Times New Roman" w:hAnsi="Times New Roman" w:cs="Times New Roman"/>
          <w:sz w:val="24"/>
          <w:szCs w:val="24"/>
        </w:rPr>
        <w:t xml:space="preserve"> who are </w:t>
      </w:r>
      <w:r>
        <w:rPr>
          <w:rFonts w:ascii="Times New Roman" w:hAnsi="Times New Roman" w:cs="Times New Roman"/>
          <w:sz w:val="24"/>
          <w:szCs w:val="24"/>
        </w:rPr>
        <w:t>helping our economy recover while following public health guidelines</w:t>
      </w:r>
      <w:r w:rsidRPr="005D47DD">
        <w:rPr>
          <w:rFonts w:ascii="Times New Roman" w:hAnsi="Times New Roman" w:cs="Times New Roman"/>
          <w:sz w:val="24"/>
          <w:szCs w:val="24"/>
        </w:rPr>
        <w:t xml:space="preserve"> deserve better than to </w:t>
      </w:r>
      <w:proofErr w:type="gramStart"/>
      <w:r w:rsidRPr="005D47DD">
        <w:rPr>
          <w:rFonts w:ascii="Times New Roman" w:hAnsi="Times New Roman" w:cs="Times New Roman"/>
          <w:sz w:val="24"/>
          <w:szCs w:val="24"/>
        </w:rPr>
        <w:t>be sued</w:t>
      </w:r>
      <w:proofErr w:type="gramEnd"/>
      <w:r w:rsidRPr="005D47DD">
        <w:rPr>
          <w:rFonts w:ascii="Times New Roman" w:hAnsi="Times New Roman" w:cs="Times New Roman"/>
          <w:sz w:val="24"/>
          <w:szCs w:val="24"/>
        </w:rPr>
        <w:t xml:space="preserve"> out of existence by trial l</w:t>
      </w:r>
      <w:r>
        <w:rPr>
          <w:rFonts w:ascii="Times New Roman" w:hAnsi="Times New Roman" w:cs="Times New Roman"/>
          <w:sz w:val="24"/>
          <w:szCs w:val="24"/>
        </w:rPr>
        <w:t>awyers seeking to get rich from</w:t>
      </w:r>
      <w:r w:rsidRPr="005D47DD">
        <w:rPr>
          <w:rFonts w:ascii="Times New Roman" w:hAnsi="Times New Roman" w:cs="Times New Roman"/>
          <w:sz w:val="24"/>
          <w:szCs w:val="24"/>
        </w:rPr>
        <w:t xml:space="preserve"> the suffering of others.</w:t>
      </w:r>
      <w:r>
        <w:rPr>
          <w:rFonts w:ascii="Times New Roman" w:hAnsi="Times New Roman" w:cs="Times New Roman"/>
          <w:sz w:val="24"/>
          <w:szCs w:val="24"/>
        </w:rPr>
        <w:t xml:space="preserve">  Moreover, Congress invested trillions of dollars into the economy in the numerous coronavirus relief packages, and has an obligation to ensure that those dollars do not go </w:t>
      </w:r>
      <w:r w:rsidR="00EB2781">
        <w:rPr>
          <w:rFonts w:ascii="Times New Roman" w:hAnsi="Times New Roman" w:cs="Times New Roman"/>
          <w:sz w:val="24"/>
          <w:szCs w:val="24"/>
        </w:rPr>
        <w:t xml:space="preserve">directly </w:t>
      </w:r>
      <w:r>
        <w:rPr>
          <w:rFonts w:ascii="Times New Roman" w:hAnsi="Times New Roman" w:cs="Times New Roman"/>
          <w:sz w:val="24"/>
          <w:szCs w:val="24"/>
        </w:rPr>
        <w:t xml:space="preserve">from the pockets of </w:t>
      </w:r>
      <w:r w:rsidR="00E76932">
        <w:rPr>
          <w:rFonts w:ascii="Times New Roman" w:hAnsi="Times New Roman" w:cs="Times New Roman"/>
          <w:sz w:val="24"/>
          <w:szCs w:val="24"/>
        </w:rPr>
        <w:t>businesses, schools, colleges and universities, religious, philanthropic and other nonprofit institutions, and local government agencies</w:t>
      </w:r>
      <w:r w:rsidR="00E76932" w:rsidDel="00E76932">
        <w:rPr>
          <w:rFonts w:ascii="Times New Roman" w:hAnsi="Times New Roman" w:cs="Times New Roman"/>
          <w:sz w:val="24"/>
          <w:szCs w:val="24"/>
        </w:rPr>
        <w:t xml:space="preserve"> </w:t>
      </w:r>
      <w:r>
        <w:rPr>
          <w:rFonts w:ascii="Times New Roman" w:hAnsi="Times New Roman" w:cs="Times New Roman"/>
          <w:sz w:val="24"/>
          <w:szCs w:val="24"/>
        </w:rPr>
        <w:t xml:space="preserve">into the pockets of the trial bar.   </w:t>
      </w:r>
      <w:r w:rsidRPr="005D47DD">
        <w:rPr>
          <w:rFonts w:ascii="Times New Roman" w:hAnsi="Times New Roman" w:cs="Times New Roman"/>
          <w:sz w:val="24"/>
          <w:szCs w:val="24"/>
        </w:rPr>
        <w:t xml:space="preserve">  </w:t>
      </w:r>
    </w:p>
    <w:p w14:paraId="6D850617" w14:textId="35778BF7" w:rsidR="00DE7CD5" w:rsidRDefault="00DE7CD5" w:rsidP="00DE7CD5">
      <w:pPr>
        <w:rPr>
          <w:rFonts w:ascii="Times New Roman" w:hAnsi="Times New Roman" w:cs="Times New Roman"/>
          <w:sz w:val="24"/>
          <w:szCs w:val="24"/>
        </w:rPr>
      </w:pPr>
      <w:r>
        <w:rPr>
          <w:rFonts w:ascii="Times New Roman" w:hAnsi="Times New Roman" w:cs="Times New Roman"/>
          <w:sz w:val="24"/>
          <w:szCs w:val="24"/>
        </w:rPr>
        <w:t xml:space="preserve">The </w:t>
      </w:r>
      <w:r w:rsidRPr="005B3E96">
        <w:rPr>
          <w:rFonts w:ascii="Times New Roman" w:hAnsi="Times New Roman" w:cs="Times New Roman"/>
          <w:b/>
          <w:sz w:val="24"/>
          <w:szCs w:val="24"/>
        </w:rPr>
        <w:t>SAFE TO WORK Act</w:t>
      </w:r>
      <w:r>
        <w:rPr>
          <w:rFonts w:ascii="Times New Roman" w:hAnsi="Times New Roman" w:cs="Times New Roman"/>
          <w:sz w:val="24"/>
          <w:szCs w:val="24"/>
        </w:rPr>
        <w:t xml:space="preserve"> establishes temporary rules for specific types of coronavirus-related claims designed to facilitate and foster a prudent reopening of our businesses, schools, colleges and universities, religious, philanthropic and other nonprofit institutions, and local government agencies, while also ensuring that </w:t>
      </w:r>
      <w:r w:rsidR="00EB2781">
        <w:rPr>
          <w:rFonts w:ascii="Times New Roman" w:hAnsi="Times New Roman" w:cs="Times New Roman"/>
          <w:sz w:val="24"/>
          <w:szCs w:val="24"/>
        </w:rPr>
        <w:t xml:space="preserve">those </w:t>
      </w:r>
      <w:r>
        <w:rPr>
          <w:rFonts w:ascii="Times New Roman" w:hAnsi="Times New Roman" w:cs="Times New Roman"/>
          <w:sz w:val="24"/>
          <w:szCs w:val="24"/>
        </w:rPr>
        <w:t>who contract coronavirus because of the gross negligence of others can recover for their injuries.  It also protects health care providers from coronavirus-based claims, grants temporary labor and employment</w:t>
      </w:r>
      <w:r w:rsidR="00EB2781">
        <w:rPr>
          <w:rFonts w:ascii="Times New Roman" w:hAnsi="Times New Roman" w:cs="Times New Roman"/>
          <w:sz w:val="24"/>
          <w:szCs w:val="24"/>
        </w:rPr>
        <w:t xml:space="preserve"> </w:t>
      </w:r>
      <w:r>
        <w:rPr>
          <w:rFonts w:ascii="Times New Roman" w:hAnsi="Times New Roman" w:cs="Times New Roman"/>
          <w:sz w:val="24"/>
          <w:szCs w:val="24"/>
        </w:rPr>
        <w:t xml:space="preserve">law protections, and clarifies already-existing products-liability protections.  </w:t>
      </w:r>
    </w:p>
    <w:p w14:paraId="23478F54" w14:textId="77777777" w:rsidR="005B3E96" w:rsidRDefault="005B3E96" w:rsidP="005B3E96">
      <w:pPr>
        <w:pStyle w:val="NoSpacing"/>
        <w:jc w:val="both"/>
        <w:rPr>
          <w:b/>
          <w:sz w:val="24"/>
          <w:szCs w:val="24"/>
        </w:rPr>
      </w:pPr>
      <w:r w:rsidRPr="005D47DD">
        <w:rPr>
          <w:b/>
          <w:sz w:val="24"/>
          <w:szCs w:val="24"/>
        </w:rPr>
        <w:t>The SAFE TO WORK Act will</w:t>
      </w:r>
      <w:r>
        <w:rPr>
          <w:b/>
          <w:sz w:val="24"/>
          <w:szCs w:val="24"/>
        </w:rPr>
        <w:t>:</w:t>
      </w:r>
    </w:p>
    <w:p w14:paraId="0B523D72" w14:textId="77777777" w:rsidR="005B3E96" w:rsidRDefault="005B3E96" w:rsidP="005B3E96">
      <w:pPr>
        <w:pStyle w:val="NoSpacing"/>
        <w:jc w:val="both"/>
        <w:rPr>
          <w:b/>
          <w:sz w:val="24"/>
          <w:szCs w:val="24"/>
        </w:rPr>
      </w:pPr>
    </w:p>
    <w:p w14:paraId="6D0BED2B" w14:textId="77777777" w:rsidR="005B3E96" w:rsidRDefault="005B3E96" w:rsidP="005B3E96">
      <w:pPr>
        <w:pStyle w:val="NoSpacing"/>
        <w:numPr>
          <w:ilvl w:val="0"/>
          <w:numId w:val="2"/>
        </w:numPr>
        <w:jc w:val="both"/>
        <w:rPr>
          <w:sz w:val="24"/>
          <w:szCs w:val="24"/>
        </w:rPr>
      </w:pPr>
      <w:r w:rsidRPr="005D47DD">
        <w:rPr>
          <w:sz w:val="24"/>
          <w:szCs w:val="24"/>
        </w:rPr>
        <w:t xml:space="preserve">Help </w:t>
      </w:r>
      <w:r>
        <w:rPr>
          <w:sz w:val="24"/>
          <w:szCs w:val="24"/>
        </w:rPr>
        <w:t>those essential businesses that have remained open</w:t>
      </w:r>
      <w:r w:rsidR="00EB2781">
        <w:rPr>
          <w:sz w:val="24"/>
          <w:szCs w:val="24"/>
        </w:rPr>
        <w:t xml:space="preserve"> to</w:t>
      </w:r>
      <w:r>
        <w:rPr>
          <w:sz w:val="24"/>
          <w:szCs w:val="24"/>
        </w:rPr>
        <w:t xml:space="preserve"> stay open, and help other </w:t>
      </w:r>
      <w:r w:rsidRPr="005D47DD">
        <w:rPr>
          <w:sz w:val="24"/>
          <w:szCs w:val="24"/>
        </w:rPr>
        <w:t>businesses to reopen</w:t>
      </w:r>
      <w:r>
        <w:rPr>
          <w:sz w:val="24"/>
          <w:szCs w:val="24"/>
        </w:rPr>
        <w:t xml:space="preserve"> safely and</w:t>
      </w:r>
      <w:r w:rsidRPr="005D47DD">
        <w:rPr>
          <w:sz w:val="24"/>
          <w:szCs w:val="24"/>
        </w:rPr>
        <w:t xml:space="preserve"> without fear</w:t>
      </w:r>
      <w:r>
        <w:rPr>
          <w:sz w:val="24"/>
          <w:szCs w:val="24"/>
        </w:rPr>
        <w:t xml:space="preserve"> so that American workers can earn paychecks</w:t>
      </w:r>
      <w:r w:rsidRPr="005D47DD">
        <w:rPr>
          <w:sz w:val="24"/>
          <w:szCs w:val="24"/>
        </w:rPr>
        <w:t>;</w:t>
      </w:r>
    </w:p>
    <w:p w14:paraId="7D9671A5" w14:textId="77777777" w:rsidR="005B3E96" w:rsidRDefault="005B3E96" w:rsidP="005B3E96">
      <w:pPr>
        <w:pStyle w:val="NoSpacing"/>
        <w:numPr>
          <w:ilvl w:val="0"/>
          <w:numId w:val="2"/>
        </w:numPr>
        <w:jc w:val="both"/>
        <w:rPr>
          <w:sz w:val="24"/>
          <w:szCs w:val="24"/>
        </w:rPr>
      </w:pPr>
      <w:r w:rsidRPr="005B3E96">
        <w:rPr>
          <w:sz w:val="24"/>
          <w:szCs w:val="24"/>
        </w:rPr>
        <w:t xml:space="preserve">Assist schools, colleges, and universities with reopening in the fall so that America’s students can resume their educations; </w:t>
      </w:r>
    </w:p>
    <w:p w14:paraId="0F92BDDB" w14:textId="77777777" w:rsidR="005B3E96" w:rsidRDefault="005B3E96" w:rsidP="005B3E96">
      <w:pPr>
        <w:pStyle w:val="NoSpacing"/>
        <w:numPr>
          <w:ilvl w:val="0"/>
          <w:numId w:val="2"/>
        </w:numPr>
        <w:jc w:val="both"/>
        <w:rPr>
          <w:sz w:val="24"/>
          <w:szCs w:val="24"/>
        </w:rPr>
      </w:pPr>
      <w:r w:rsidRPr="005B3E96">
        <w:rPr>
          <w:sz w:val="24"/>
          <w:szCs w:val="24"/>
        </w:rPr>
        <w:t>Encourage and protect workers who return to their jobs</w:t>
      </w:r>
      <w:r w:rsidR="00E23B3A">
        <w:rPr>
          <w:sz w:val="24"/>
          <w:szCs w:val="24"/>
        </w:rPr>
        <w:t xml:space="preserve"> by rewarding compliance with coronavirus-related public health guidelines</w:t>
      </w:r>
      <w:r w:rsidRPr="005B3E96">
        <w:rPr>
          <w:sz w:val="24"/>
          <w:szCs w:val="24"/>
        </w:rPr>
        <w:t>;</w:t>
      </w:r>
    </w:p>
    <w:p w14:paraId="0B8A383A" w14:textId="77777777" w:rsidR="005B3E96" w:rsidRDefault="005B3E96" w:rsidP="005B3E96">
      <w:pPr>
        <w:pStyle w:val="NoSpacing"/>
        <w:numPr>
          <w:ilvl w:val="0"/>
          <w:numId w:val="2"/>
        </w:numPr>
        <w:jc w:val="both"/>
        <w:rPr>
          <w:sz w:val="24"/>
          <w:szCs w:val="24"/>
        </w:rPr>
      </w:pPr>
      <w:r w:rsidRPr="005B3E96">
        <w:rPr>
          <w:sz w:val="24"/>
          <w:szCs w:val="24"/>
        </w:rPr>
        <w:t>Provide uniformity and predictability for good actors; and</w:t>
      </w:r>
    </w:p>
    <w:p w14:paraId="509BCF5A" w14:textId="77777777" w:rsidR="005B3E96" w:rsidRPr="005B3E96" w:rsidRDefault="00AC0713" w:rsidP="005B3E96">
      <w:pPr>
        <w:pStyle w:val="NoSpacing"/>
        <w:numPr>
          <w:ilvl w:val="0"/>
          <w:numId w:val="2"/>
        </w:numPr>
        <w:jc w:val="both"/>
        <w:rPr>
          <w:sz w:val="24"/>
          <w:szCs w:val="24"/>
        </w:rPr>
      </w:pPr>
      <w:r>
        <w:rPr>
          <w:sz w:val="24"/>
          <w:szCs w:val="24"/>
        </w:rPr>
        <w:t>Ensure that</w:t>
      </w:r>
      <w:r w:rsidR="005B3E96" w:rsidRPr="005B3E96">
        <w:rPr>
          <w:sz w:val="24"/>
          <w:szCs w:val="24"/>
        </w:rPr>
        <w:t xml:space="preserve"> bad-faith actors </w:t>
      </w:r>
      <w:proofErr w:type="gramStart"/>
      <w:r>
        <w:rPr>
          <w:sz w:val="24"/>
          <w:szCs w:val="24"/>
        </w:rPr>
        <w:t>are</w:t>
      </w:r>
      <w:r w:rsidR="005B3E96" w:rsidRPr="005B3E96">
        <w:rPr>
          <w:sz w:val="24"/>
          <w:szCs w:val="24"/>
        </w:rPr>
        <w:t xml:space="preserve"> held</w:t>
      </w:r>
      <w:proofErr w:type="gramEnd"/>
      <w:r w:rsidR="005B3E96" w:rsidRPr="005B3E96">
        <w:rPr>
          <w:sz w:val="24"/>
          <w:szCs w:val="24"/>
        </w:rPr>
        <w:t xml:space="preserve"> accountable for </w:t>
      </w:r>
      <w:r>
        <w:rPr>
          <w:sz w:val="24"/>
          <w:szCs w:val="24"/>
        </w:rPr>
        <w:t>coronavirus-related</w:t>
      </w:r>
      <w:r w:rsidR="005B3E96" w:rsidRPr="005B3E96">
        <w:rPr>
          <w:sz w:val="24"/>
          <w:szCs w:val="24"/>
        </w:rPr>
        <w:t xml:space="preserve"> related injuries.</w:t>
      </w:r>
    </w:p>
    <w:p w14:paraId="046E9813" w14:textId="77777777" w:rsidR="005B3E96" w:rsidRDefault="005B3E96" w:rsidP="00E66531">
      <w:pPr>
        <w:rPr>
          <w:rFonts w:ascii="Times New Roman" w:hAnsi="Times New Roman" w:cs="Times New Roman"/>
          <w:sz w:val="24"/>
          <w:szCs w:val="24"/>
        </w:rPr>
      </w:pPr>
    </w:p>
    <w:p w14:paraId="21CCC55B" w14:textId="77777777" w:rsidR="00E66531" w:rsidRPr="005B3E96" w:rsidRDefault="00E66531" w:rsidP="00E66531">
      <w:pPr>
        <w:rPr>
          <w:rFonts w:ascii="Times New Roman" w:hAnsi="Times New Roman" w:cs="Times New Roman"/>
          <w:b/>
          <w:sz w:val="24"/>
          <w:szCs w:val="24"/>
        </w:rPr>
      </w:pPr>
      <w:r w:rsidRPr="005B3E96">
        <w:rPr>
          <w:rFonts w:ascii="Times New Roman" w:hAnsi="Times New Roman" w:cs="Times New Roman"/>
          <w:b/>
          <w:sz w:val="24"/>
          <w:szCs w:val="24"/>
        </w:rPr>
        <w:t>Section by Section</w:t>
      </w:r>
    </w:p>
    <w:p w14:paraId="47BBED3B" w14:textId="77777777" w:rsidR="00E66531" w:rsidRPr="00AF4744" w:rsidRDefault="00E66531" w:rsidP="00E66531">
      <w:pPr>
        <w:rPr>
          <w:rFonts w:ascii="Times New Roman" w:hAnsi="Times New Roman" w:cs="Times New Roman"/>
          <w:i/>
          <w:sz w:val="24"/>
          <w:szCs w:val="24"/>
        </w:rPr>
      </w:pPr>
      <w:r w:rsidRPr="00AF4744">
        <w:rPr>
          <w:rFonts w:ascii="Times New Roman" w:hAnsi="Times New Roman" w:cs="Times New Roman"/>
          <w:i/>
          <w:sz w:val="24"/>
          <w:szCs w:val="24"/>
        </w:rPr>
        <w:t>11001 – Short Title</w:t>
      </w:r>
    </w:p>
    <w:p w14:paraId="0F88BA9E" w14:textId="77777777" w:rsidR="00E66531" w:rsidRPr="00AF4744" w:rsidRDefault="00E66531" w:rsidP="00E66531">
      <w:pPr>
        <w:rPr>
          <w:rFonts w:ascii="Times New Roman" w:hAnsi="Times New Roman" w:cs="Times New Roman"/>
          <w:i/>
          <w:sz w:val="24"/>
          <w:szCs w:val="24"/>
        </w:rPr>
      </w:pPr>
      <w:r w:rsidRPr="00AF4744">
        <w:rPr>
          <w:rFonts w:ascii="Times New Roman" w:hAnsi="Times New Roman" w:cs="Times New Roman"/>
          <w:i/>
          <w:sz w:val="24"/>
          <w:szCs w:val="24"/>
        </w:rPr>
        <w:t>11002 – Findings and Purposes</w:t>
      </w:r>
    </w:p>
    <w:p w14:paraId="0B6BEC22" w14:textId="77777777" w:rsidR="00E66531" w:rsidRPr="00AF4744" w:rsidRDefault="00E66531" w:rsidP="00E66531">
      <w:pPr>
        <w:rPr>
          <w:rFonts w:ascii="Times New Roman" w:hAnsi="Times New Roman" w:cs="Times New Roman"/>
          <w:i/>
          <w:sz w:val="24"/>
          <w:szCs w:val="24"/>
        </w:rPr>
      </w:pPr>
      <w:r w:rsidRPr="00AF4744">
        <w:rPr>
          <w:rFonts w:ascii="Times New Roman" w:hAnsi="Times New Roman" w:cs="Times New Roman"/>
          <w:i/>
          <w:sz w:val="24"/>
          <w:szCs w:val="24"/>
        </w:rPr>
        <w:t xml:space="preserve">11003 – Definitions </w:t>
      </w:r>
    </w:p>
    <w:p w14:paraId="464E98B0" w14:textId="77777777" w:rsidR="00E66531" w:rsidRPr="00C313BB" w:rsidRDefault="00E66531" w:rsidP="00E66531">
      <w:pPr>
        <w:rPr>
          <w:rFonts w:ascii="Times New Roman" w:hAnsi="Times New Roman" w:cs="Times New Roman"/>
          <w:b/>
          <w:sz w:val="24"/>
          <w:szCs w:val="24"/>
          <w:u w:val="single"/>
        </w:rPr>
      </w:pPr>
      <w:r w:rsidRPr="00C313BB">
        <w:rPr>
          <w:rFonts w:ascii="Times New Roman" w:hAnsi="Times New Roman" w:cs="Times New Roman"/>
          <w:b/>
          <w:sz w:val="24"/>
          <w:szCs w:val="24"/>
          <w:u w:val="single"/>
        </w:rPr>
        <w:lastRenderedPageBreak/>
        <w:t xml:space="preserve">Subtitle </w:t>
      </w:r>
      <w:proofErr w:type="gramStart"/>
      <w:r w:rsidRPr="00C313BB">
        <w:rPr>
          <w:rFonts w:ascii="Times New Roman" w:hAnsi="Times New Roman" w:cs="Times New Roman"/>
          <w:b/>
          <w:sz w:val="24"/>
          <w:szCs w:val="24"/>
          <w:u w:val="single"/>
        </w:rPr>
        <w:t>A</w:t>
      </w:r>
      <w:proofErr w:type="gramEnd"/>
      <w:r w:rsidRPr="00C313BB">
        <w:rPr>
          <w:rFonts w:ascii="Times New Roman" w:hAnsi="Times New Roman" w:cs="Times New Roman"/>
          <w:b/>
          <w:sz w:val="24"/>
          <w:szCs w:val="24"/>
          <w:u w:val="single"/>
        </w:rPr>
        <w:t xml:space="preserve"> – Liability Relief</w:t>
      </w:r>
    </w:p>
    <w:p w14:paraId="50446497" w14:textId="77777777" w:rsidR="00E66531" w:rsidRPr="00AF4744" w:rsidRDefault="00E66531" w:rsidP="00E66531">
      <w:pPr>
        <w:rPr>
          <w:rFonts w:ascii="Times New Roman" w:hAnsi="Times New Roman" w:cs="Times New Roman"/>
          <w:b/>
          <w:sz w:val="24"/>
          <w:szCs w:val="24"/>
        </w:rPr>
      </w:pPr>
      <w:r w:rsidRPr="00AF4744">
        <w:rPr>
          <w:rFonts w:ascii="Times New Roman" w:hAnsi="Times New Roman" w:cs="Times New Roman"/>
          <w:b/>
          <w:sz w:val="24"/>
          <w:szCs w:val="24"/>
        </w:rPr>
        <w:t>Part 1 – Exposure Actions</w:t>
      </w:r>
    </w:p>
    <w:p w14:paraId="6AD3C7B9" w14:textId="77777777" w:rsidR="00AF4744" w:rsidRDefault="00E66531" w:rsidP="00E66531">
      <w:pPr>
        <w:rPr>
          <w:rFonts w:ascii="Times New Roman" w:hAnsi="Times New Roman" w:cs="Times New Roman"/>
          <w:sz w:val="24"/>
          <w:szCs w:val="24"/>
        </w:rPr>
      </w:pPr>
      <w:r w:rsidRPr="00AF4744">
        <w:rPr>
          <w:rFonts w:ascii="Times New Roman" w:hAnsi="Times New Roman" w:cs="Times New Roman"/>
          <w:i/>
          <w:sz w:val="24"/>
          <w:szCs w:val="24"/>
        </w:rPr>
        <w:t>11121 – Federal Cause of Action</w:t>
      </w:r>
      <w:r>
        <w:rPr>
          <w:rFonts w:ascii="Times New Roman" w:hAnsi="Times New Roman" w:cs="Times New Roman"/>
          <w:sz w:val="24"/>
          <w:szCs w:val="24"/>
        </w:rPr>
        <w:t xml:space="preserve">. </w:t>
      </w:r>
    </w:p>
    <w:p w14:paraId="59A2005D" w14:textId="77777777" w:rsidR="0092097B" w:rsidRDefault="00E66531" w:rsidP="00E66531">
      <w:pPr>
        <w:rPr>
          <w:rFonts w:ascii="Times New Roman" w:hAnsi="Times New Roman" w:cs="Times New Roman"/>
          <w:sz w:val="24"/>
          <w:szCs w:val="24"/>
        </w:rPr>
      </w:pPr>
      <w:r>
        <w:rPr>
          <w:rFonts w:ascii="Times New Roman" w:hAnsi="Times New Roman" w:cs="Times New Roman"/>
          <w:sz w:val="24"/>
          <w:szCs w:val="24"/>
        </w:rPr>
        <w:t xml:space="preserve">Creates </w:t>
      </w:r>
      <w:r w:rsidR="007D0F21">
        <w:rPr>
          <w:rFonts w:ascii="Times New Roman" w:hAnsi="Times New Roman" w:cs="Times New Roman"/>
          <w:sz w:val="24"/>
          <w:szCs w:val="24"/>
        </w:rPr>
        <w:t>a</w:t>
      </w:r>
      <w:r>
        <w:rPr>
          <w:rFonts w:ascii="Times New Roman" w:hAnsi="Times New Roman" w:cs="Times New Roman"/>
          <w:sz w:val="24"/>
          <w:szCs w:val="24"/>
        </w:rPr>
        <w:t xml:space="preserve"> federal cause of action for coronavirus exposure claims.</w:t>
      </w:r>
      <w:r w:rsidR="00DE635E">
        <w:rPr>
          <w:rFonts w:ascii="Times New Roman" w:hAnsi="Times New Roman" w:cs="Times New Roman"/>
          <w:sz w:val="24"/>
          <w:szCs w:val="24"/>
        </w:rPr>
        <w:t xml:space="preserve">  </w:t>
      </w:r>
      <w:r>
        <w:rPr>
          <w:rFonts w:ascii="Times New Roman" w:hAnsi="Times New Roman" w:cs="Times New Roman"/>
          <w:sz w:val="24"/>
          <w:szCs w:val="24"/>
        </w:rPr>
        <w:t xml:space="preserve">This cause of action </w:t>
      </w:r>
      <w:r w:rsidR="00AF4744">
        <w:rPr>
          <w:rFonts w:ascii="Times New Roman" w:hAnsi="Times New Roman" w:cs="Times New Roman"/>
          <w:sz w:val="24"/>
          <w:szCs w:val="24"/>
        </w:rPr>
        <w:t xml:space="preserve">is the exclusive remedy for all claims against a defendant for </w:t>
      </w:r>
      <w:r>
        <w:rPr>
          <w:rFonts w:ascii="Times New Roman" w:hAnsi="Times New Roman" w:cs="Times New Roman"/>
          <w:sz w:val="24"/>
          <w:szCs w:val="24"/>
        </w:rPr>
        <w:t>personal injury caused by an actual, alleged, feared or potential</w:t>
      </w:r>
      <w:r w:rsidR="00DE635E">
        <w:rPr>
          <w:rFonts w:ascii="Times New Roman" w:hAnsi="Times New Roman" w:cs="Times New Roman"/>
          <w:sz w:val="24"/>
          <w:szCs w:val="24"/>
        </w:rPr>
        <w:t xml:space="preserve"> </w:t>
      </w:r>
      <w:r>
        <w:rPr>
          <w:rFonts w:ascii="Times New Roman" w:hAnsi="Times New Roman" w:cs="Times New Roman"/>
          <w:sz w:val="24"/>
          <w:szCs w:val="24"/>
        </w:rPr>
        <w:t xml:space="preserve">exposure to coronavirus. </w:t>
      </w:r>
      <w:r w:rsidR="0092097B">
        <w:rPr>
          <w:rFonts w:ascii="Times New Roman" w:hAnsi="Times New Roman" w:cs="Times New Roman"/>
          <w:sz w:val="24"/>
          <w:szCs w:val="24"/>
        </w:rPr>
        <w:t xml:space="preserve">This cause of action covers all alleged injuries that arise from conduct taking between December 1, 2019 and the later of </w:t>
      </w:r>
      <w:proofErr w:type="gramStart"/>
      <w:r w:rsidR="0092097B">
        <w:rPr>
          <w:rFonts w:ascii="Times New Roman" w:hAnsi="Times New Roman" w:cs="Times New Roman"/>
          <w:sz w:val="24"/>
          <w:szCs w:val="24"/>
        </w:rPr>
        <w:t>either the end</w:t>
      </w:r>
      <w:proofErr w:type="gramEnd"/>
      <w:r w:rsidR="0092097B">
        <w:rPr>
          <w:rFonts w:ascii="Times New Roman" w:hAnsi="Times New Roman" w:cs="Times New Roman"/>
          <w:sz w:val="24"/>
          <w:szCs w:val="24"/>
        </w:rPr>
        <w:t xml:space="preserve"> of the coronavirus emergency declaration or October 1, 2024.  It governs all cases, including those pending on the date of enactment.</w:t>
      </w:r>
    </w:p>
    <w:p w14:paraId="36F4C8E0" w14:textId="77777777" w:rsidR="00AF4744" w:rsidRDefault="00E66531" w:rsidP="00E66531">
      <w:pPr>
        <w:rPr>
          <w:rFonts w:ascii="Times New Roman" w:hAnsi="Times New Roman" w:cs="Times New Roman"/>
          <w:sz w:val="24"/>
          <w:szCs w:val="24"/>
        </w:rPr>
      </w:pPr>
      <w:r>
        <w:rPr>
          <w:rFonts w:ascii="Times New Roman" w:hAnsi="Times New Roman" w:cs="Times New Roman"/>
          <w:sz w:val="24"/>
          <w:szCs w:val="24"/>
        </w:rPr>
        <w:t>The</w:t>
      </w:r>
      <w:r w:rsidR="0092097B">
        <w:rPr>
          <w:rFonts w:ascii="Times New Roman" w:hAnsi="Times New Roman" w:cs="Times New Roman"/>
          <w:sz w:val="24"/>
          <w:szCs w:val="24"/>
        </w:rPr>
        <w:t xml:space="preserve"> cause of action governs any </w:t>
      </w:r>
      <w:r w:rsidR="00EB2781">
        <w:rPr>
          <w:rFonts w:ascii="Times New Roman" w:hAnsi="Times New Roman" w:cs="Times New Roman"/>
          <w:sz w:val="24"/>
          <w:szCs w:val="24"/>
        </w:rPr>
        <w:t xml:space="preserve">covered </w:t>
      </w:r>
      <w:r w:rsidR="0092097B">
        <w:rPr>
          <w:rFonts w:ascii="Times New Roman" w:hAnsi="Times New Roman" w:cs="Times New Roman"/>
          <w:sz w:val="24"/>
          <w:szCs w:val="24"/>
        </w:rPr>
        <w:t>claim against almost any defendant</w:t>
      </w:r>
      <w:r>
        <w:rPr>
          <w:rFonts w:ascii="Times New Roman" w:hAnsi="Times New Roman" w:cs="Times New Roman"/>
          <w:sz w:val="24"/>
          <w:szCs w:val="24"/>
        </w:rPr>
        <w:t>, including</w:t>
      </w:r>
      <w:r w:rsidR="007D0F21">
        <w:rPr>
          <w:rFonts w:ascii="Times New Roman" w:hAnsi="Times New Roman" w:cs="Times New Roman"/>
          <w:sz w:val="24"/>
          <w:szCs w:val="24"/>
        </w:rPr>
        <w:t xml:space="preserve"> natural</w:t>
      </w:r>
      <w:r>
        <w:rPr>
          <w:rFonts w:ascii="Times New Roman" w:hAnsi="Times New Roman" w:cs="Times New Roman"/>
          <w:sz w:val="24"/>
          <w:szCs w:val="24"/>
        </w:rPr>
        <w:t xml:space="preserve"> persons, schools, colleges, charities, churches, government agencies, associations</w:t>
      </w:r>
      <w:r w:rsidR="007D0F21">
        <w:rPr>
          <w:rFonts w:ascii="Times New Roman" w:hAnsi="Times New Roman" w:cs="Times New Roman"/>
          <w:sz w:val="24"/>
          <w:szCs w:val="24"/>
        </w:rPr>
        <w:t xml:space="preserve">, and businesses, so long as those defendants are engaging in conduct subject to Congress’s regulation under the Interstate and Foreign Commerce Clauses.  </w:t>
      </w:r>
      <w:r>
        <w:rPr>
          <w:rFonts w:ascii="Times New Roman" w:hAnsi="Times New Roman" w:cs="Times New Roman"/>
          <w:sz w:val="24"/>
          <w:szCs w:val="24"/>
        </w:rPr>
        <w:t xml:space="preserve"> </w:t>
      </w:r>
    </w:p>
    <w:p w14:paraId="67CB1217" w14:textId="0787EF77" w:rsidR="0092097B" w:rsidRDefault="007D0F21" w:rsidP="00E66531">
      <w:pPr>
        <w:rPr>
          <w:rFonts w:ascii="Times New Roman" w:hAnsi="Times New Roman" w:cs="Times New Roman"/>
          <w:sz w:val="24"/>
          <w:szCs w:val="24"/>
        </w:rPr>
      </w:pPr>
      <w:r>
        <w:rPr>
          <w:rFonts w:ascii="Times New Roman" w:hAnsi="Times New Roman" w:cs="Times New Roman"/>
          <w:sz w:val="24"/>
          <w:szCs w:val="24"/>
        </w:rPr>
        <w:t xml:space="preserve">This section </w:t>
      </w:r>
      <w:r w:rsidR="00E66531">
        <w:rPr>
          <w:rFonts w:ascii="Times New Roman" w:hAnsi="Times New Roman" w:cs="Times New Roman"/>
          <w:sz w:val="24"/>
          <w:szCs w:val="24"/>
        </w:rPr>
        <w:t xml:space="preserve">preempts </w:t>
      </w:r>
      <w:r>
        <w:rPr>
          <w:rFonts w:ascii="Times New Roman" w:hAnsi="Times New Roman" w:cs="Times New Roman"/>
          <w:sz w:val="24"/>
          <w:szCs w:val="24"/>
        </w:rPr>
        <w:t xml:space="preserve">all state laws, including common law, that impose liability for coronavirus exposure </w:t>
      </w:r>
      <w:r w:rsidR="00746FB9">
        <w:rPr>
          <w:rFonts w:ascii="Times New Roman" w:hAnsi="Times New Roman" w:cs="Times New Roman"/>
          <w:sz w:val="24"/>
          <w:szCs w:val="24"/>
        </w:rPr>
        <w:t>on broader grounds</w:t>
      </w:r>
      <w:r>
        <w:rPr>
          <w:rFonts w:ascii="Times New Roman" w:hAnsi="Times New Roman" w:cs="Times New Roman"/>
          <w:sz w:val="24"/>
          <w:szCs w:val="24"/>
        </w:rPr>
        <w:t xml:space="preserve"> than those contained in the statute.  It instructs courts, however, to apply state laws that impose further liability limitations alongside the provisions of this statute.  The statute therefore imposes a floor on liability, but </w:t>
      </w:r>
      <w:r w:rsidR="00EB2781">
        <w:rPr>
          <w:rFonts w:ascii="Times New Roman" w:hAnsi="Times New Roman" w:cs="Times New Roman"/>
          <w:sz w:val="24"/>
          <w:szCs w:val="24"/>
        </w:rPr>
        <w:t xml:space="preserve">makes clear that </w:t>
      </w:r>
      <w:r>
        <w:rPr>
          <w:rFonts w:ascii="Times New Roman" w:hAnsi="Times New Roman" w:cs="Times New Roman"/>
          <w:sz w:val="24"/>
          <w:szCs w:val="24"/>
        </w:rPr>
        <w:t xml:space="preserve">states are free </w:t>
      </w:r>
      <w:proofErr w:type="gramStart"/>
      <w:r>
        <w:rPr>
          <w:rFonts w:ascii="Times New Roman" w:hAnsi="Times New Roman" w:cs="Times New Roman"/>
          <w:sz w:val="24"/>
          <w:szCs w:val="24"/>
        </w:rPr>
        <w:t>to further limit</w:t>
      </w:r>
      <w:proofErr w:type="gramEnd"/>
      <w:r>
        <w:rPr>
          <w:rFonts w:ascii="Times New Roman" w:hAnsi="Times New Roman" w:cs="Times New Roman"/>
          <w:sz w:val="24"/>
          <w:szCs w:val="24"/>
        </w:rPr>
        <w:t xml:space="preserve"> liability for coro</w:t>
      </w:r>
      <w:bookmarkStart w:id="0" w:name="_GoBack"/>
      <w:bookmarkEnd w:id="0"/>
      <w:r>
        <w:rPr>
          <w:rFonts w:ascii="Times New Roman" w:hAnsi="Times New Roman" w:cs="Times New Roman"/>
          <w:sz w:val="24"/>
          <w:szCs w:val="24"/>
        </w:rPr>
        <w:t>navirus exposure.  The statute does not preempt or interfere with workers’ compensation schemes, government enforcement actions</w:t>
      </w:r>
      <w:r w:rsidR="0092097B">
        <w:rPr>
          <w:rFonts w:ascii="Times New Roman" w:hAnsi="Times New Roman" w:cs="Times New Roman"/>
          <w:sz w:val="24"/>
          <w:szCs w:val="24"/>
        </w:rPr>
        <w:t>,</w:t>
      </w:r>
      <w:r w:rsidR="00F43513">
        <w:rPr>
          <w:rFonts w:ascii="Times New Roman" w:hAnsi="Times New Roman" w:cs="Times New Roman"/>
          <w:sz w:val="24"/>
          <w:szCs w:val="24"/>
        </w:rPr>
        <w:t xml:space="preserve"> claims of intentional discrimination,</w:t>
      </w:r>
      <w:r w:rsidR="0092097B">
        <w:rPr>
          <w:rFonts w:ascii="Times New Roman" w:hAnsi="Times New Roman" w:cs="Times New Roman"/>
          <w:sz w:val="24"/>
          <w:szCs w:val="24"/>
        </w:rPr>
        <w:t xml:space="preserve"> or a seaman’s right to maintenance and cure.  </w:t>
      </w:r>
    </w:p>
    <w:p w14:paraId="7481D897" w14:textId="77777777" w:rsidR="00AF4744" w:rsidRDefault="0092097B" w:rsidP="00E66531">
      <w:pPr>
        <w:rPr>
          <w:rFonts w:ascii="Times New Roman" w:hAnsi="Times New Roman" w:cs="Times New Roman"/>
          <w:sz w:val="24"/>
          <w:szCs w:val="24"/>
        </w:rPr>
      </w:pPr>
      <w:r>
        <w:rPr>
          <w:rFonts w:ascii="Times New Roman" w:hAnsi="Times New Roman" w:cs="Times New Roman"/>
          <w:sz w:val="24"/>
          <w:szCs w:val="24"/>
        </w:rPr>
        <w:t xml:space="preserve">This section also sets a one-year statute of limitations.  </w:t>
      </w:r>
    </w:p>
    <w:p w14:paraId="345F09B3" w14:textId="77777777" w:rsidR="00AF4744" w:rsidRDefault="00E66531" w:rsidP="00E66531">
      <w:pPr>
        <w:rPr>
          <w:rFonts w:ascii="Times New Roman" w:hAnsi="Times New Roman" w:cs="Times New Roman"/>
          <w:sz w:val="24"/>
          <w:szCs w:val="24"/>
        </w:rPr>
      </w:pPr>
      <w:r w:rsidRPr="005B3E96">
        <w:rPr>
          <w:rFonts w:ascii="Times New Roman" w:hAnsi="Times New Roman" w:cs="Times New Roman"/>
          <w:i/>
          <w:sz w:val="24"/>
          <w:szCs w:val="24"/>
        </w:rPr>
        <w:t>11122 – Requirements for Liability and Safe Harbor</w:t>
      </w:r>
      <w:r>
        <w:rPr>
          <w:rFonts w:ascii="Times New Roman" w:hAnsi="Times New Roman" w:cs="Times New Roman"/>
          <w:sz w:val="24"/>
          <w:szCs w:val="24"/>
        </w:rPr>
        <w:t xml:space="preserve">. </w:t>
      </w:r>
    </w:p>
    <w:p w14:paraId="3D03E0C9" w14:textId="77777777" w:rsidR="0092097B" w:rsidRDefault="0092097B" w:rsidP="00E66531">
      <w:pPr>
        <w:rPr>
          <w:rFonts w:ascii="Times New Roman" w:hAnsi="Times New Roman" w:cs="Times New Roman"/>
          <w:sz w:val="24"/>
          <w:szCs w:val="24"/>
        </w:rPr>
      </w:pPr>
      <w:r>
        <w:rPr>
          <w:rFonts w:ascii="Times New Roman" w:hAnsi="Times New Roman" w:cs="Times New Roman"/>
          <w:sz w:val="24"/>
          <w:szCs w:val="24"/>
        </w:rPr>
        <w:t>This section sets out the rules for the coronavirus exposure claims.</w:t>
      </w:r>
      <w:r w:rsidR="00550D65">
        <w:rPr>
          <w:rFonts w:ascii="Times New Roman" w:hAnsi="Times New Roman" w:cs="Times New Roman"/>
          <w:sz w:val="24"/>
          <w:szCs w:val="24"/>
        </w:rPr>
        <w:t xml:space="preserve">  A plaintiff must satisfy each element of the claim by clear and convincing evidence.</w:t>
      </w:r>
    </w:p>
    <w:p w14:paraId="58D340CE" w14:textId="77777777" w:rsidR="0092097B" w:rsidRDefault="0092097B" w:rsidP="0092097B">
      <w:pPr>
        <w:rPr>
          <w:rFonts w:ascii="Times New Roman" w:hAnsi="Times New Roman" w:cs="Times New Roman"/>
          <w:sz w:val="24"/>
          <w:szCs w:val="24"/>
        </w:rPr>
      </w:pPr>
      <w:r w:rsidRPr="0092097B">
        <w:rPr>
          <w:rFonts w:ascii="Times New Roman" w:hAnsi="Times New Roman" w:cs="Times New Roman"/>
          <w:sz w:val="24"/>
          <w:szCs w:val="24"/>
        </w:rPr>
        <w:t xml:space="preserve">Safe harbor – A defendant is not liable for coronavirus exposure so long as the defendant undertook reasonable efforts in light of all the circumstances to comply with the applicable mandatory </w:t>
      </w:r>
      <w:r>
        <w:rPr>
          <w:rFonts w:ascii="Times New Roman" w:hAnsi="Times New Roman" w:cs="Times New Roman"/>
          <w:sz w:val="24"/>
          <w:szCs w:val="24"/>
        </w:rPr>
        <w:t xml:space="preserve">coronavirus </w:t>
      </w:r>
      <w:r w:rsidRPr="0092097B">
        <w:rPr>
          <w:rFonts w:ascii="Times New Roman" w:hAnsi="Times New Roman" w:cs="Times New Roman"/>
          <w:sz w:val="24"/>
          <w:szCs w:val="24"/>
        </w:rPr>
        <w:t>standards and regulations</w:t>
      </w:r>
      <w:r>
        <w:rPr>
          <w:rFonts w:ascii="Times New Roman" w:hAnsi="Times New Roman" w:cs="Times New Roman"/>
          <w:sz w:val="24"/>
          <w:szCs w:val="24"/>
        </w:rPr>
        <w:t xml:space="preserve"> in effect at the time of the alleged exposure.</w:t>
      </w:r>
    </w:p>
    <w:p w14:paraId="3B6A0B1C" w14:textId="77777777" w:rsidR="0092097B" w:rsidRDefault="0092097B" w:rsidP="005B3E9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If the defendant was not subject to mandatory standards, it can claim the benefit of the safe harbor so long as it followed some set of </w:t>
      </w:r>
      <w:r w:rsidR="00EB2781">
        <w:rPr>
          <w:rFonts w:ascii="Times New Roman" w:hAnsi="Times New Roman" w:cs="Times New Roman"/>
          <w:sz w:val="24"/>
          <w:szCs w:val="24"/>
        </w:rPr>
        <w:t xml:space="preserve">applicable </w:t>
      </w:r>
      <w:r>
        <w:rPr>
          <w:rFonts w:ascii="Times New Roman" w:hAnsi="Times New Roman" w:cs="Times New Roman"/>
          <w:sz w:val="24"/>
          <w:szCs w:val="24"/>
        </w:rPr>
        <w:t>public-health guidelines</w:t>
      </w:r>
      <w:r w:rsidR="00E66531" w:rsidRPr="0092097B">
        <w:rPr>
          <w:rFonts w:ascii="Times New Roman" w:hAnsi="Times New Roman" w:cs="Times New Roman"/>
          <w:sz w:val="24"/>
          <w:szCs w:val="24"/>
        </w:rPr>
        <w:t xml:space="preserve">. </w:t>
      </w:r>
    </w:p>
    <w:p w14:paraId="6E38F6B4" w14:textId="77777777" w:rsidR="005B3E96" w:rsidRPr="0092097B" w:rsidRDefault="00E66531" w:rsidP="005B3E96">
      <w:pPr>
        <w:pStyle w:val="ListParagraph"/>
        <w:numPr>
          <w:ilvl w:val="0"/>
          <w:numId w:val="5"/>
        </w:numPr>
        <w:rPr>
          <w:rFonts w:ascii="Times New Roman" w:hAnsi="Times New Roman" w:cs="Times New Roman"/>
          <w:sz w:val="24"/>
          <w:szCs w:val="24"/>
        </w:rPr>
      </w:pPr>
      <w:r w:rsidRPr="0092097B">
        <w:rPr>
          <w:rFonts w:ascii="Times New Roman" w:hAnsi="Times New Roman" w:cs="Times New Roman"/>
          <w:sz w:val="24"/>
          <w:szCs w:val="24"/>
        </w:rPr>
        <w:t xml:space="preserve">Should </w:t>
      </w:r>
      <w:r w:rsidR="00AF4744" w:rsidRPr="0092097B">
        <w:rPr>
          <w:rFonts w:ascii="Times New Roman" w:hAnsi="Times New Roman" w:cs="Times New Roman"/>
          <w:sz w:val="24"/>
          <w:szCs w:val="24"/>
        </w:rPr>
        <w:t xml:space="preserve">multiple sets of applicable </w:t>
      </w:r>
      <w:r w:rsidRPr="0092097B">
        <w:rPr>
          <w:rFonts w:ascii="Times New Roman" w:hAnsi="Times New Roman" w:cs="Times New Roman"/>
          <w:sz w:val="24"/>
          <w:szCs w:val="24"/>
        </w:rPr>
        <w:t>mandatory guidelines conflict, compliance with one set will satisfy the safe harbor.</w:t>
      </w:r>
    </w:p>
    <w:p w14:paraId="1A5D46D0" w14:textId="77777777" w:rsidR="005B3E96" w:rsidRDefault="00550D65" w:rsidP="005B3E96">
      <w:pPr>
        <w:rPr>
          <w:rFonts w:ascii="Times New Roman" w:hAnsi="Times New Roman" w:cs="Times New Roman"/>
          <w:sz w:val="24"/>
          <w:szCs w:val="24"/>
        </w:rPr>
      </w:pPr>
      <w:r>
        <w:rPr>
          <w:rFonts w:ascii="Times New Roman" w:hAnsi="Times New Roman" w:cs="Times New Roman"/>
          <w:sz w:val="24"/>
          <w:szCs w:val="24"/>
        </w:rPr>
        <w:t>Gross negligence or willful misconduct – If a plaintiff can establish that the defendant did not take reasonable steps to comply with the applicable standards and regulations, the plaintiff must further show that the defendant’s gross negligence or willful misconduct caused the plaintiff’s coronavirus injuries.</w:t>
      </w:r>
      <w:r w:rsidR="00E66531">
        <w:rPr>
          <w:rFonts w:ascii="Times New Roman" w:hAnsi="Times New Roman" w:cs="Times New Roman"/>
          <w:sz w:val="24"/>
          <w:szCs w:val="24"/>
        </w:rPr>
        <w:t xml:space="preserve"> </w:t>
      </w:r>
    </w:p>
    <w:p w14:paraId="077250F0" w14:textId="77777777" w:rsidR="00550D65" w:rsidRDefault="00AF4744" w:rsidP="00550D65">
      <w:pPr>
        <w:pStyle w:val="ListParagraph"/>
        <w:numPr>
          <w:ilvl w:val="0"/>
          <w:numId w:val="6"/>
        </w:numPr>
        <w:rPr>
          <w:rFonts w:ascii="Times New Roman" w:hAnsi="Times New Roman" w:cs="Times New Roman"/>
          <w:b/>
          <w:sz w:val="24"/>
          <w:szCs w:val="24"/>
        </w:rPr>
      </w:pPr>
      <w:r w:rsidRPr="00550D65">
        <w:rPr>
          <w:rFonts w:ascii="Times New Roman" w:hAnsi="Times New Roman" w:cs="Times New Roman"/>
          <w:sz w:val="24"/>
          <w:szCs w:val="24"/>
        </w:rPr>
        <w:lastRenderedPageBreak/>
        <w:t xml:space="preserve">Gross negligence </w:t>
      </w:r>
      <w:proofErr w:type="gramStart"/>
      <w:r w:rsidRPr="00550D65">
        <w:rPr>
          <w:rFonts w:ascii="Times New Roman" w:hAnsi="Times New Roman" w:cs="Times New Roman"/>
          <w:sz w:val="24"/>
          <w:szCs w:val="24"/>
        </w:rPr>
        <w:t>is defined</w:t>
      </w:r>
      <w:proofErr w:type="gramEnd"/>
      <w:r w:rsidRPr="00550D65">
        <w:rPr>
          <w:rFonts w:ascii="Times New Roman" w:hAnsi="Times New Roman" w:cs="Times New Roman"/>
          <w:sz w:val="24"/>
          <w:szCs w:val="24"/>
        </w:rPr>
        <w:t xml:space="preserve"> </w:t>
      </w:r>
      <w:r w:rsidR="005B3E96" w:rsidRPr="00550D65">
        <w:rPr>
          <w:rFonts w:ascii="Times New Roman" w:hAnsi="Times New Roman" w:cs="Times New Roman"/>
          <w:sz w:val="24"/>
          <w:szCs w:val="24"/>
        </w:rPr>
        <w:t>as a conscious, voluntary act or omission in reckless disregard of a legal duty, the consequences to another party, and applicable government standards and guidance</w:t>
      </w:r>
      <w:r w:rsidRPr="00550D65">
        <w:rPr>
          <w:rFonts w:ascii="Times New Roman" w:hAnsi="Times New Roman" w:cs="Times New Roman"/>
          <w:sz w:val="24"/>
          <w:szCs w:val="24"/>
        </w:rPr>
        <w:t>.</w:t>
      </w:r>
      <w:r w:rsidRPr="00550D65">
        <w:rPr>
          <w:rFonts w:ascii="Times New Roman" w:hAnsi="Times New Roman" w:cs="Times New Roman"/>
          <w:b/>
          <w:sz w:val="24"/>
          <w:szCs w:val="24"/>
        </w:rPr>
        <w:t xml:space="preserve"> </w:t>
      </w:r>
    </w:p>
    <w:p w14:paraId="4797C394" w14:textId="77777777" w:rsidR="00AF4744" w:rsidRPr="00550D65" w:rsidRDefault="00AF4744" w:rsidP="00550D65">
      <w:pPr>
        <w:pStyle w:val="ListParagraph"/>
        <w:numPr>
          <w:ilvl w:val="0"/>
          <w:numId w:val="6"/>
        </w:numPr>
        <w:rPr>
          <w:rFonts w:ascii="Times New Roman" w:hAnsi="Times New Roman" w:cs="Times New Roman"/>
          <w:b/>
          <w:sz w:val="24"/>
          <w:szCs w:val="24"/>
        </w:rPr>
      </w:pPr>
      <w:r w:rsidRPr="00550D65">
        <w:rPr>
          <w:rFonts w:ascii="Times New Roman" w:hAnsi="Times New Roman" w:cs="Times New Roman"/>
          <w:sz w:val="24"/>
          <w:szCs w:val="24"/>
        </w:rPr>
        <w:t xml:space="preserve">Willful misconduct </w:t>
      </w:r>
      <w:proofErr w:type="gramStart"/>
      <w:r w:rsidRPr="00550D65">
        <w:rPr>
          <w:rFonts w:ascii="Times New Roman" w:hAnsi="Times New Roman" w:cs="Times New Roman"/>
          <w:sz w:val="24"/>
          <w:szCs w:val="24"/>
        </w:rPr>
        <w:t>is defined</w:t>
      </w:r>
      <w:proofErr w:type="gramEnd"/>
      <w:r w:rsidRPr="00550D65">
        <w:rPr>
          <w:rFonts w:ascii="Times New Roman" w:hAnsi="Times New Roman" w:cs="Times New Roman"/>
          <w:sz w:val="24"/>
          <w:szCs w:val="24"/>
        </w:rPr>
        <w:t xml:space="preserve"> as</w:t>
      </w:r>
      <w:r w:rsidR="005B3E96" w:rsidRPr="00550D65">
        <w:rPr>
          <w:rFonts w:ascii="Times New Roman" w:hAnsi="Times New Roman" w:cs="Times New Roman"/>
          <w:sz w:val="24"/>
          <w:szCs w:val="24"/>
        </w:rPr>
        <w:t xml:space="preserve"> an act or omission that is taken to achieve a wrongful purpose, knowingly without legal factual justification, and in disregard of a known or obvious risk that is so great as to make it highly probable that the harm will outweigh the benefit</w:t>
      </w:r>
      <w:r w:rsidR="00550D65">
        <w:rPr>
          <w:rFonts w:ascii="Times New Roman" w:hAnsi="Times New Roman" w:cs="Times New Roman"/>
          <w:sz w:val="24"/>
          <w:szCs w:val="24"/>
        </w:rPr>
        <w:t>.</w:t>
      </w:r>
    </w:p>
    <w:p w14:paraId="2436EE0B" w14:textId="77777777" w:rsidR="00E66531" w:rsidRPr="00AF4744" w:rsidRDefault="00E66531" w:rsidP="00E66531">
      <w:pPr>
        <w:rPr>
          <w:rFonts w:ascii="Times New Roman" w:hAnsi="Times New Roman" w:cs="Times New Roman"/>
          <w:b/>
          <w:sz w:val="24"/>
          <w:szCs w:val="24"/>
        </w:rPr>
      </w:pPr>
      <w:r w:rsidRPr="00AF4744">
        <w:rPr>
          <w:rFonts w:ascii="Times New Roman" w:hAnsi="Times New Roman" w:cs="Times New Roman"/>
          <w:b/>
          <w:sz w:val="24"/>
          <w:szCs w:val="24"/>
        </w:rPr>
        <w:t>Part 2 – Healthcare Protections</w:t>
      </w:r>
    </w:p>
    <w:p w14:paraId="6A56D756" w14:textId="77777777" w:rsidR="00AF4744" w:rsidRPr="005B3E96" w:rsidRDefault="00E66531" w:rsidP="00E66531">
      <w:pPr>
        <w:rPr>
          <w:rFonts w:ascii="Times New Roman" w:hAnsi="Times New Roman" w:cs="Times New Roman"/>
          <w:i/>
          <w:sz w:val="24"/>
          <w:szCs w:val="24"/>
        </w:rPr>
      </w:pPr>
      <w:r w:rsidRPr="005B3E96">
        <w:rPr>
          <w:rFonts w:ascii="Times New Roman" w:hAnsi="Times New Roman" w:cs="Times New Roman"/>
          <w:i/>
          <w:sz w:val="24"/>
          <w:szCs w:val="24"/>
        </w:rPr>
        <w:t xml:space="preserve">11141 – Federal Cause of Action. </w:t>
      </w:r>
    </w:p>
    <w:p w14:paraId="208FF90D" w14:textId="77777777" w:rsidR="00746FB9" w:rsidRDefault="00E66531" w:rsidP="00E66531">
      <w:pPr>
        <w:rPr>
          <w:rFonts w:ascii="Times New Roman" w:hAnsi="Times New Roman" w:cs="Times New Roman"/>
          <w:sz w:val="24"/>
          <w:szCs w:val="24"/>
        </w:rPr>
      </w:pPr>
      <w:r>
        <w:rPr>
          <w:rFonts w:ascii="Times New Roman" w:hAnsi="Times New Roman" w:cs="Times New Roman"/>
          <w:sz w:val="24"/>
          <w:szCs w:val="24"/>
        </w:rPr>
        <w:t>Creates an exclusive federal cause of action for coronavirus medical liability claims</w:t>
      </w:r>
      <w:r w:rsidR="00AF4744">
        <w:rPr>
          <w:rFonts w:ascii="Times New Roman" w:hAnsi="Times New Roman" w:cs="Times New Roman"/>
          <w:sz w:val="24"/>
          <w:szCs w:val="24"/>
        </w:rPr>
        <w:t>.</w:t>
      </w:r>
      <w:r w:rsidR="00746FB9">
        <w:rPr>
          <w:rFonts w:ascii="Times New Roman" w:hAnsi="Times New Roman" w:cs="Times New Roman"/>
          <w:sz w:val="24"/>
          <w:szCs w:val="24"/>
        </w:rPr>
        <w:t xml:space="preserve">  This cause of action is the exclusive remedy for </w:t>
      </w:r>
      <w:r>
        <w:rPr>
          <w:rFonts w:ascii="Times New Roman" w:hAnsi="Times New Roman" w:cs="Times New Roman"/>
          <w:sz w:val="24"/>
          <w:szCs w:val="24"/>
        </w:rPr>
        <w:t xml:space="preserve">personal injury caused by the treatment, diagnosis, or care of coronavirus, or care directly affected by the coronavirus. </w:t>
      </w:r>
      <w:r w:rsidR="00746FB9">
        <w:rPr>
          <w:rFonts w:ascii="Times New Roman" w:hAnsi="Times New Roman" w:cs="Times New Roman"/>
          <w:sz w:val="24"/>
          <w:szCs w:val="24"/>
        </w:rPr>
        <w:t xml:space="preserve"> </w:t>
      </w:r>
      <w:r>
        <w:rPr>
          <w:rFonts w:ascii="Times New Roman" w:hAnsi="Times New Roman" w:cs="Times New Roman"/>
          <w:sz w:val="24"/>
          <w:szCs w:val="24"/>
        </w:rPr>
        <w:t>This protection applies to health care providers, including doctors, nurses, facilities, administrators and volunteers.</w:t>
      </w:r>
      <w:r w:rsidR="00746FB9">
        <w:rPr>
          <w:rFonts w:ascii="Times New Roman" w:hAnsi="Times New Roman" w:cs="Times New Roman"/>
          <w:sz w:val="24"/>
          <w:szCs w:val="24"/>
        </w:rPr>
        <w:t xml:space="preserve">  This cause of action covers all alleged injuries that arise from conduct taking </w:t>
      </w:r>
      <w:r w:rsidR="00572165">
        <w:rPr>
          <w:rFonts w:ascii="Times New Roman" w:hAnsi="Times New Roman" w:cs="Times New Roman"/>
          <w:sz w:val="24"/>
          <w:szCs w:val="24"/>
        </w:rPr>
        <w:t xml:space="preserve">place </w:t>
      </w:r>
      <w:r w:rsidR="00746FB9">
        <w:rPr>
          <w:rFonts w:ascii="Times New Roman" w:hAnsi="Times New Roman" w:cs="Times New Roman"/>
          <w:sz w:val="24"/>
          <w:szCs w:val="24"/>
        </w:rPr>
        <w:t xml:space="preserve">between December 1, 2019 and the later of </w:t>
      </w:r>
      <w:proofErr w:type="gramStart"/>
      <w:r w:rsidR="00746FB9">
        <w:rPr>
          <w:rFonts w:ascii="Times New Roman" w:hAnsi="Times New Roman" w:cs="Times New Roman"/>
          <w:sz w:val="24"/>
          <w:szCs w:val="24"/>
        </w:rPr>
        <w:t>either the end</w:t>
      </w:r>
      <w:proofErr w:type="gramEnd"/>
      <w:r w:rsidR="00746FB9">
        <w:rPr>
          <w:rFonts w:ascii="Times New Roman" w:hAnsi="Times New Roman" w:cs="Times New Roman"/>
          <w:sz w:val="24"/>
          <w:szCs w:val="24"/>
        </w:rPr>
        <w:t xml:space="preserve"> of the coronavirus emergency declaration or October 1, 2024.  It governs all cases, including those pending on the date of enactment.</w:t>
      </w:r>
      <w:r>
        <w:rPr>
          <w:rFonts w:ascii="Times New Roman" w:hAnsi="Times New Roman" w:cs="Times New Roman"/>
          <w:sz w:val="24"/>
          <w:szCs w:val="24"/>
        </w:rPr>
        <w:t xml:space="preserve"> </w:t>
      </w:r>
    </w:p>
    <w:p w14:paraId="4E523666" w14:textId="41D62738" w:rsidR="005B3E96" w:rsidRDefault="00746FB9" w:rsidP="00E66531">
      <w:pPr>
        <w:rPr>
          <w:rFonts w:ascii="Times New Roman" w:hAnsi="Times New Roman" w:cs="Times New Roman"/>
          <w:sz w:val="24"/>
          <w:szCs w:val="24"/>
        </w:rPr>
      </w:pPr>
      <w:r>
        <w:rPr>
          <w:rFonts w:ascii="Times New Roman" w:hAnsi="Times New Roman" w:cs="Times New Roman"/>
          <w:sz w:val="24"/>
          <w:szCs w:val="24"/>
        </w:rPr>
        <w:t xml:space="preserve">As with coronavirus exposure actions, all state laws that impose liability on broader grounds than those contained in the statute </w:t>
      </w:r>
      <w:proofErr w:type="gramStart"/>
      <w:r>
        <w:rPr>
          <w:rFonts w:ascii="Times New Roman" w:hAnsi="Times New Roman" w:cs="Times New Roman"/>
          <w:sz w:val="24"/>
          <w:szCs w:val="24"/>
        </w:rPr>
        <w:t>are preempted</w:t>
      </w:r>
      <w:proofErr w:type="gramEnd"/>
      <w:r>
        <w:rPr>
          <w:rFonts w:ascii="Times New Roman" w:hAnsi="Times New Roman" w:cs="Times New Roman"/>
          <w:sz w:val="24"/>
          <w:szCs w:val="24"/>
        </w:rPr>
        <w:t xml:space="preserve">.  Courts, however, must apply state laws that impose further liability limitations alongside the provisions of this statute.  The statute therefore imposes a floor on liability, but states are free </w:t>
      </w:r>
      <w:proofErr w:type="gramStart"/>
      <w:r>
        <w:rPr>
          <w:rFonts w:ascii="Times New Roman" w:hAnsi="Times New Roman" w:cs="Times New Roman"/>
          <w:sz w:val="24"/>
          <w:szCs w:val="24"/>
        </w:rPr>
        <w:t>to further limit</w:t>
      </w:r>
      <w:proofErr w:type="gramEnd"/>
      <w:r>
        <w:rPr>
          <w:rFonts w:ascii="Times New Roman" w:hAnsi="Times New Roman" w:cs="Times New Roman"/>
          <w:sz w:val="24"/>
          <w:szCs w:val="24"/>
        </w:rPr>
        <w:t xml:space="preserve"> liability for coronavirus medical liability claims.  The law does not preempt the Public Readiness and Emergency Preparedness (PREP) Act, government enforcement actions,</w:t>
      </w:r>
      <w:r w:rsidR="00F43513">
        <w:rPr>
          <w:rFonts w:ascii="Times New Roman" w:hAnsi="Times New Roman" w:cs="Times New Roman"/>
          <w:sz w:val="24"/>
          <w:szCs w:val="24"/>
        </w:rPr>
        <w:t xml:space="preserve"> claims of intentional discrimination,</w:t>
      </w:r>
      <w:r>
        <w:rPr>
          <w:rFonts w:ascii="Times New Roman" w:hAnsi="Times New Roman" w:cs="Times New Roman"/>
          <w:sz w:val="24"/>
          <w:szCs w:val="24"/>
        </w:rPr>
        <w:t xml:space="preserve"> or the </w:t>
      </w:r>
      <w:r w:rsidR="00EB2781">
        <w:rPr>
          <w:rFonts w:ascii="Times New Roman" w:hAnsi="Times New Roman" w:cs="Times New Roman"/>
          <w:sz w:val="24"/>
          <w:szCs w:val="24"/>
        </w:rPr>
        <w:t xml:space="preserve">already-existing </w:t>
      </w:r>
      <w:r>
        <w:rPr>
          <w:rFonts w:ascii="Times New Roman" w:hAnsi="Times New Roman" w:cs="Times New Roman"/>
          <w:sz w:val="24"/>
          <w:szCs w:val="24"/>
        </w:rPr>
        <w:t xml:space="preserve">federal laws governing vaccine injuries.  </w:t>
      </w:r>
    </w:p>
    <w:p w14:paraId="42FDB641" w14:textId="77777777" w:rsidR="005B3E96" w:rsidRPr="005B3E96" w:rsidRDefault="00E66531" w:rsidP="00E66531">
      <w:pPr>
        <w:rPr>
          <w:rFonts w:ascii="Times New Roman" w:hAnsi="Times New Roman" w:cs="Times New Roman"/>
          <w:i/>
          <w:sz w:val="24"/>
          <w:szCs w:val="24"/>
        </w:rPr>
      </w:pPr>
      <w:r w:rsidRPr="005B3E96">
        <w:rPr>
          <w:rFonts w:ascii="Times New Roman" w:hAnsi="Times New Roman" w:cs="Times New Roman"/>
          <w:i/>
          <w:sz w:val="24"/>
          <w:szCs w:val="24"/>
        </w:rPr>
        <w:t xml:space="preserve">11142 – Requirements for Liability. </w:t>
      </w:r>
    </w:p>
    <w:p w14:paraId="1A45B53B" w14:textId="77777777" w:rsidR="005B3E96" w:rsidRDefault="00746FB9" w:rsidP="005B3E96">
      <w:pPr>
        <w:rPr>
          <w:rFonts w:ascii="Times New Roman" w:hAnsi="Times New Roman" w:cs="Times New Roman"/>
          <w:sz w:val="24"/>
          <w:szCs w:val="24"/>
        </w:rPr>
      </w:pPr>
      <w:r>
        <w:rPr>
          <w:rFonts w:ascii="Times New Roman" w:hAnsi="Times New Roman" w:cs="Times New Roman"/>
          <w:sz w:val="24"/>
          <w:szCs w:val="24"/>
        </w:rPr>
        <w:t>To recover for personal injuries caused by coronavirus medical care, the plaintiff must show that his</w:t>
      </w:r>
      <w:r w:rsidR="00EB2781">
        <w:rPr>
          <w:rFonts w:ascii="Times New Roman" w:hAnsi="Times New Roman" w:cs="Times New Roman"/>
          <w:sz w:val="24"/>
          <w:szCs w:val="24"/>
        </w:rPr>
        <w:t xml:space="preserve"> or </w:t>
      </w:r>
      <w:r>
        <w:rPr>
          <w:rFonts w:ascii="Times New Roman" w:hAnsi="Times New Roman" w:cs="Times New Roman"/>
          <w:sz w:val="24"/>
          <w:szCs w:val="24"/>
        </w:rPr>
        <w:t xml:space="preserve">her injuries </w:t>
      </w:r>
      <w:proofErr w:type="gramStart"/>
      <w:r>
        <w:rPr>
          <w:rFonts w:ascii="Times New Roman" w:hAnsi="Times New Roman" w:cs="Times New Roman"/>
          <w:sz w:val="24"/>
          <w:szCs w:val="24"/>
        </w:rPr>
        <w:t>were caused</w:t>
      </w:r>
      <w:proofErr w:type="gramEnd"/>
      <w:r>
        <w:rPr>
          <w:rFonts w:ascii="Times New Roman" w:hAnsi="Times New Roman" w:cs="Times New Roman"/>
          <w:sz w:val="24"/>
          <w:szCs w:val="24"/>
        </w:rPr>
        <w:t xml:space="preserve"> by the defendant’s gross negligence or willful misconduct.</w:t>
      </w:r>
    </w:p>
    <w:p w14:paraId="7F465532" w14:textId="77777777" w:rsidR="00E66531" w:rsidRPr="00AF4744" w:rsidRDefault="00E66531" w:rsidP="00E66531">
      <w:pPr>
        <w:rPr>
          <w:rFonts w:ascii="Times New Roman" w:hAnsi="Times New Roman" w:cs="Times New Roman"/>
          <w:b/>
          <w:sz w:val="24"/>
          <w:szCs w:val="24"/>
        </w:rPr>
      </w:pPr>
      <w:r w:rsidRPr="00AF4744">
        <w:rPr>
          <w:rFonts w:ascii="Times New Roman" w:hAnsi="Times New Roman" w:cs="Times New Roman"/>
          <w:b/>
          <w:sz w:val="24"/>
          <w:szCs w:val="24"/>
        </w:rPr>
        <w:t xml:space="preserve">Part 3 – Procedural and Substantive Provisions for Suit </w:t>
      </w:r>
    </w:p>
    <w:p w14:paraId="483F6B48" w14:textId="77777777" w:rsidR="00AF4744" w:rsidRPr="005B3E96" w:rsidRDefault="00E66531" w:rsidP="00E66531">
      <w:pPr>
        <w:rPr>
          <w:rFonts w:ascii="Times New Roman" w:hAnsi="Times New Roman" w:cs="Times New Roman"/>
          <w:i/>
          <w:sz w:val="24"/>
          <w:szCs w:val="24"/>
        </w:rPr>
      </w:pPr>
      <w:r w:rsidRPr="005B3E96">
        <w:rPr>
          <w:rFonts w:ascii="Times New Roman" w:hAnsi="Times New Roman" w:cs="Times New Roman"/>
          <w:i/>
          <w:sz w:val="24"/>
          <w:szCs w:val="24"/>
        </w:rPr>
        <w:t xml:space="preserve">11161 – Jurisdiction. </w:t>
      </w:r>
    </w:p>
    <w:p w14:paraId="44037668" w14:textId="77777777" w:rsidR="00E66531" w:rsidRDefault="00B21DB0" w:rsidP="00E66531">
      <w:pPr>
        <w:rPr>
          <w:rFonts w:ascii="Times New Roman" w:hAnsi="Times New Roman" w:cs="Times New Roman"/>
          <w:sz w:val="24"/>
          <w:szCs w:val="24"/>
        </w:rPr>
      </w:pPr>
      <w:r>
        <w:rPr>
          <w:rFonts w:ascii="Times New Roman" w:hAnsi="Times New Roman" w:cs="Times New Roman"/>
          <w:sz w:val="24"/>
          <w:szCs w:val="24"/>
        </w:rPr>
        <w:t>Authorizes plaintiffs to file coronavirus-related lawsuits in either federal or state court.  Authorizes defendants in state court to remove their cases to federal court.</w:t>
      </w:r>
      <w:r w:rsidR="00E66531">
        <w:rPr>
          <w:rFonts w:ascii="Times New Roman" w:hAnsi="Times New Roman" w:cs="Times New Roman"/>
          <w:sz w:val="24"/>
          <w:szCs w:val="24"/>
        </w:rPr>
        <w:t xml:space="preserve"> </w:t>
      </w:r>
    </w:p>
    <w:p w14:paraId="53E25809" w14:textId="46416064" w:rsidR="005B3E96" w:rsidRDefault="00E66531" w:rsidP="00E66531">
      <w:pPr>
        <w:rPr>
          <w:rFonts w:ascii="Times New Roman" w:hAnsi="Times New Roman" w:cs="Times New Roman"/>
          <w:sz w:val="24"/>
          <w:szCs w:val="24"/>
        </w:rPr>
      </w:pPr>
      <w:r w:rsidRPr="005B3E96">
        <w:rPr>
          <w:rFonts w:ascii="Times New Roman" w:hAnsi="Times New Roman" w:cs="Times New Roman"/>
          <w:i/>
          <w:sz w:val="24"/>
          <w:szCs w:val="24"/>
        </w:rPr>
        <w:t>11162</w:t>
      </w:r>
      <w:r w:rsidR="00E76932">
        <w:rPr>
          <w:rFonts w:ascii="Times New Roman" w:hAnsi="Times New Roman" w:cs="Times New Roman"/>
          <w:i/>
          <w:sz w:val="24"/>
          <w:szCs w:val="24"/>
        </w:rPr>
        <w:t xml:space="preserve"> – </w:t>
      </w:r>
      <w:r w:rsidRPr="005B3E96">
        <w:rPr>
          <w:rFonts w:ascii="Times New Roman" w:hAnsi="Times New Roman" w:cs="Times New Roman"/>
          <w:i/>
          <w:sz w:val="24"/>
          <w:szCs w:val="24"/>
        </w:rPr>
        <w:t>Limitations on Suit.</w:t>
      </w:r>
      <w:r>
        <w:rPr>
          <w:rFonts w:ascii="Times New Roman" w:hAnsi="Times New Roman" w:cs="Times New Roman"/>
          <w:sz w:val="24"/>
          <w:szCs w:val="24"/>
        </w:rPr>
        <w:t xml:space="preserve"> </w:t>
      </w:r>
    </w:p>
    <w:p w14:paraId="2D582C75" w14:textId="125014CC" w:rsidR="008B7F13" w:rsidRDefault="008B7F13" w:rsidP="00E66531">
      <w:pPr>
        <w:rPr>
          <w:rFonts w:ascii="Times New Roman" w:hAnsi="Times New Roman" w:cs="Times New Roman"/>
          <w:sz w:val="24"/>
          <w:szCs w:val="24"/>
        </w:rPr>
      </w:pPr>
      <w:r>
        <w:rPr>
          <w:rFonts w:ascii="Times New Roman" w:hAnsi="Times New Roman" w:cs="Times New Roman"/>
          <w:sz w:val="24"/>
          <w:szCs w:val="24"/>
        </w:rPr>
        <w:t xml:space="preserve">This section forecloses joint and several liability (except in cases of fraud or intentional injury) and instead requires defendants to pay their proportionate share of damages owed to a </w:t>
      </w:r>
      <w:r w:rsidR="00E76932">
        <w:rPr>
          <w:rFonts w:ascii="Times New Roman" w:hAnsi="Times New Roman" w:cs="Times New Roman"/>
          <w:sz w:val="24"/>
          <w:szCs w:val="24"/>
        </w:rPr>
        <w:t>plaintiff</w:t>
      </w:r>
      <w:r>
        <w:rPr>
          <w:rFonts w:ascii="Times New Roman" w:hAnsi="Times New Roman" w:cs="Times New Roman"/>
          <w:sz w:val="24"/>
          <w:szCs w:val="24"/>
        </w:rPr>
        <w:t>.</w:t>
      </w:r>
    </w:p>
    <w:p w14:paraId="2AAE6084" w14:textId="77777777" w:rsidR="008B7F13" w:rsidRDefault="008B7F13" w:rsidP="00E66531">
      <w:pPr>
        <w:rPr>
          <w:rFonts w:ascii="Times New Roman" w:hAnsi="Times New Roman" w:cs="Times New Roman"/>
          <w:sz w:val="24"/>
          <w:szCs w:val="24"/>
        </w:rPr>
      </w:pPr>
      <w:r>
        <w:rPr>
          <w:rFonts w:ascii="Times New Roman" w:hAnsi="Times New Roman" w:cs="Times New Roman"/>
          <w:sz w:val="24"/>
          <w:szCs w:val="24"/>
        </w:rPr>
        <w:t>The section limits compensatory damages to economic losses</w:t>
      </w:r>
      <w:r w:rsidR="00DE7CD5">
        <w:rPr>
          <w:rFonts w:ascii="Times New Roman" w:hAnsi="Times New Roman" w:cs="Times New Roman"/>
          <w:sz w:val="24"/>
          <w:szCs w:val="24"/>
        </w:rPr>
        <w:t xml:space="preserve"> and prohibits punitive damages, except in cases involving intentional misconduct</w:t>
      </w:r>
      <w:r>
        <w:rPr>
          <w:rFonts w:ascii="Times New Roman" w:hAnsi="Times New Roman" w:cs="Times New Roman"/>
          <w:sz w:val="24"/>
          <w:szCs w:val="24"/>
        </w:rPr>
        <w:t>.</w:t>
      </w:r>
    </w:p>
    <w:p w14:paraId="7EB983E3" w14:textId="77777777" w:rsidR="00E66531" w:rsidRDefault="00DE7CD5" w:rsidP="00DE7CD5">
      <w:pPr>
        <w:rPr>
          <w:rFonts w:ascii="Times New Roman" w:hAnsi="Times New Roman" w:cs="Times New Roman"/>
          <w:sz w:val="24"/>
          <w:szCs w:val="24"/>
        </w:rPr>
      </w:pPr>
      <w:r>
        <w:rPr>
          <w:rFonts w:ascii="Times New Roman" w:hAnsi="Times New Roman" w:cs="Times New Roman"/>
          <w:sz w:val="24"/>
          <w:szCs w:val="24"/>
        </w:rPr>
        <w:lastRenderedPageBreak/>
        <w:t>The section also preempts state laws that permit liability on broader grounds, or authorize higher damages, than those contained in this section.</w:t>
      </w:r>
    </w:p>
    <w:p w14:paraId="2E0596CC" w14:textId="77777777" w:rsidR="00EB2781" w:rsidRPr="005B3E96" w:rsidRDefault="00EB2781" w:rsidP="00EB2781">
      <w:pPr>
        <w:rPr>
          <w:rFonts w:ascii="Times New Roman" w:hAnsi="Times New Roman" w:cs="Times New Roman"/>
          <w:b/>
          <w:sz w:val="24"/>
          <w:szCs w:val="24"/>
        </w:rPr>
      </w:pPr>
      <w:r>
        <w:rPr>
          <w:rFonts w:ascii="Times New Roman" w:hAnsi="Times New Roman" w:cs="Times New Roman"/>
          <w:b/>
          <w:sz w:val="24"/>
          <w:szCs w:val="24"/>
        </w:rPr>
        <w:t xml:space="preserve">Part 4 – </w:t>
      </w:r>
      <w:r w:rsidRPr="005B3E96">
        <w:rPr>
          <w:rFonts w:ascii="Times New Roman" w:hAnsi="Times New Roman" w:cs="Times New Roman"/>
          <w:b/>
          <w:sz w:val="24"/>
          <w:szCs w:val="24"/>
        </w:rPr>
        <w:t xml:space="preserve">Labor and Employment </w:t>
      </w:r>
    </w:p>
    <w:p w14:paraId="2776E95A" w14:textId="77777777" w:rsidR="00EB2781" w:rsidRPr="005B3E96" w:rsidRDefault="00EB2781" w:rsidP="00EB2781">
      <w:pPr>
        <w:rPr>
          <w:rFonts w:ascii="Times New Roman" w:hAnsi="Times New Roman" w:cs="Times New Roman"/>
          <w:i/>
          <w:sz w:val="24"/>
          <w:szCs w:val="24"/>
        </w:rPr>
      </w:pPr>
      <w:r>
        <w:rPr>
          <w:rFonts w:ascii="Times New Roman" w:hAnsi="Times New Roman" w:cs="Times New Roman"/>
          <w:i/>
          <w:sz w:val="24"/>
          <w:szCs w:val="24"/>
        </w:rPr>
        <w:t xml:space="preserve">11181 – </w:t>
      </w:r>
      <w:r w:rsidRPr="005B3E96">
        <w:rPr>
          <w:rFonts w:ascii="Times New Roman" w:hAnsi="Times New Roman" w:cs="Times New Roman"/>
          <w:i/>
          <w:sz w:val="24"/>
          <w:szCs w:val="24"/>
        </w:rPr>
        <w:t xml:space="preserve">Application of Federal Laws. </w:t>
      </w:r>
    </w:p>
    <w:p w14:paraId="17E2E1FD" w14:textId="77777777" w:rsidR="00EB2781" w:rsidRDefault="00EB2781" w:rsidP="00EB2781">
      <w:pPr>
        <w:rPr>
          <w:rFonts w:ascii="Times New Roman" w:hAnsi="Times New Roman" w:cs="Times New Roman"/>
          <w:sz w:val="24"/>
          <w:szCs w:val="24"/>
        </w:rPr>
      </w:pPr>
      <w:proofErr w:type="gramStart"/>
      <w:r>
        <w:rPr>
          <w:rFonts w:ascii="Times New Roman" w:hAnsi="Times New Roman" w:cs="Times New Roman"/>
          <w:sz w:val="24"/>
          <w:szCs w:val="24"/>
        </w:rPr>
        <w:t>This section protects employers from liability under federal labor and employment laws—including the Occupational Safety and Health Act (OSHA), the Fair Labor Standards Act (FLSA), the Age Discrimination in Employment Act (ADEA), the Worker Adjustment and Retraining Notification (WARN) Act, Title VII of the Civil Rights Act of 1964, Title II of the Genetic Information Nondiscrimination Act (GINA), and Title I of the Americans with Disabilities Act (ADA), for actions taken to comply with coronavirus-related public-health guidance and regulations.</w:t>
      </w:r>
      <w:proofErr w:type="gramEnd"/>
      <w:r>
        <w:rPr>
          <w:rFonts w:ascii="Times New Roman" w:hAnsi="Times New Roman" w:cs="Times New Roman"/>
          <w:sz w:val="24"/>
          <w:szCs w:val="24"/>
        </w:rPr>
        <w:t xml:space="preserve"> </w:t>
      </w:r>
    </w:p>
    <w:p w14:paraId="7604548A" w14:textId="77777777" w:rsidR="00EB2781" w:rsidRDefault="00EB2781" w:rsidP="00EB2781">
      <w:pPr>
        <w:rPr>
          <w:rFonts w:ascii="Times New Roman" w:hAnsi="Times New Roman" w:cs="Times New Roman"/>
          <w:sz w:val="24"/>
          <w:szCs w:val="24"/>
        </w:rPr>
      </w:pPr>
      <w:r>
        <w:rPr>
          <w:rFonts w:ascii="Times New Roman" w:hAnsi="Times New Roman" w:cs="Times New Roman"/>
          <w:sz w:val="24"/>
          <w:szCs w:val="24"/>
        </w:rPr>
        <w:t xml:space="preserve">This section further protects from liability under the ADA and Civil Rights Act of 1964 businesses and </w:t>
      </w:r>
      <w:r w:rsidRPr="00AC1E6F">
        <w:rPr>
          <w:rFonts w:ascii="Times New Roman" w:hAnsi="Times New Roman" w:cs="Times New Roman"/>
          <w:sz w:val="24"/>
          <w:szCs w:val="24"/>
        </w:rPr>
        <w:t>employers who cannot offer requested accommodations because they would pose a serious risk to public health.</w:t>
      </w:r>
    </w:p>
    <w:p w14:paraId="1F2C23BA" w14:textId="77777777" w:rsidR="00EB2781" w:rsidRDefault="00EB2781" w:rsidP="00EB2781">
      <w:pPr>
        <w:rPr>
          <w:rFonts w:ascii="Times New Roman" w:hAnsi="Times New Roman" w:cs="Times New Roman"/>
          <w:sz w:val="24"/>
          <w:szCs w:val="24"/>
        </w:rPr>
      </w:pPr>
      <w:r w:rsidRPr="005B3E96">
        <w:rPr>
          <w:rFonts w:ascii="Times New Roman" w:hAnsi="Times New Roman" w:cs="Times New Roman"/>
          <w:i/>
          <w:sz w:val="24"/>
          <w:szCs w:val="24"/>
        </w:rPr>
        <w:t>11182 – Workplace Testing.</w:t>
      </w:r>
      <w:r>
        <w:rPr>
          <w:rFonts w:ascii="Times New Roman" w:hAnsi="Times New Roman" w:cs="Times New Roman"/>
          <w:sz w:val="24"/>
          <w:szCs w:val="24"/>
        </w:rPr>
        <w:t xml:space="preserve"> </w:t>
      </w:r>
    </w:p>
    <w:p w14:paraId="7B635821" w14:textId="77777777" w:rsidR="00EB2781" w:rsidRDefault="00EB2781" w:rsidP="00EB2781">
      <w:pPr>
        <w:rPr>
          <w:rFonts w:ascii="Times New Roman" w:hAnsi="Times New Roman" w:cs="Times New Roman"/>
          <w:sz w:val="24"/>
          <w:szCs w:val="24"/>
        </w:rPr>
      </w:pPr>
      <w:r>
        <w:rPr>
          <w:rFonts w:ascii="Times New Roman" w:hAnsi="Times New Roman" w:cs="Times New Roman"/>
          <w:sz w:val="24"/>
          <w:szCs w:val="24"/>
        </w:rPr>
        <w:t xml:space="preserve">This section forecloses lawsuits for injuries caused by workplace coronavirus testing unless the injuries </w:t>
      </w:r>
      <w:proofErr w:type="gramStart"/>
      <w:r>
        <w:rPr>
          <w:rFonts w:ascii="Times New Roman" w:hAnsi="Times New Roman" w:cs="Times New Roman"/>
          <w:sz w:val="24"/>
          <w:szCs w:val="24"/>
        </w:rPr>
        <w:t>were caused</w:t>
      </w:r>
      <w:proofErr w:type="gramEnd"/>
      <w:r>
        <w:rPr>
          <w:rFonts w:ascii="Times New Roman" w:hAnsi="Times New Roman" w:cs="Times New Roman"/>
          <w:sz w:val="24"/>
          <w:szCs w:val="24"/>
        </w:rPr>
        <w:t xml:space="preserve"> by gross negligence or intentional misconduct. </w:t>
      </w:r>
    </w:p>
    <w:p w14:paraId="2D38E7B8" w14:textId="77777777" w:rsidR="00EB2781" w:rsidRDefault="00EB2781" w:rsidP="00EB2781">
      <w:pPr>
        <w:rPr>
          <w:rFonts w:ascii="Times New Roman" w:hAnsi="Times New Roman" w:cs="Times New Roman"/>
          <w:sz w:val="24"/>
          <w:szCs w:val="24"/>
        </w:rPr>
      </w:pPr>
      <w:r>
        <w:rPr>
          <w:rFonts w:ascii="Times New Roman" w:hAnsi="Times New Roman" w:cs="Times New Roman"/>
          <w:i/>
          <w:sz w:val="24"/>
          <w:szCs w:val="24"/>
        </w:rPr>
        <w:t xml:space="preserve">11183 – </w:t>
      </w:r>
      <w:r w:rsidRPr="005B3E96">
        <w:rPr>
          <w:rFonts w:ascii="Times New Roman" w:hAnsi="Times New Roman" w:cs="Times New Roman"/>
          <w:i/>
          <w:sz w:val="24"/>
          <w:szCs w:val="24"/>
        </w:rPr>
        <w:t>Joint Employment and Independent Contracting.</w:t>
      </w:r>
      <w:r>
        <w:rPr>
          <w:rFonts w:ascii="Times New Roman" w:hAnsi="Times New Roman" w:cs="Times New Roman"/>
          <w:sz w:val="24"/>
          <w:szCs w:val="24"/>
        </w:rPr>
        <w:t xml:space="preserve"> </w:t>
      </w:r>
    </w:p>
    <w:p w14:paraId="7B1E4FE3" w14:textId="77777777" w:rsidR="00EB2781" w:rsidRDefault="00EB2781" w:rsidP="00EB2781">
      <w:pPr>
        <w:rPr>
          <w:rFonts w:ascii="Times New Roman" w:hAnsi="Times New Roman" w:cs="Times New Roman"/>
          <w:sz w:val="24"/>
          <w:szCs w:val="24"/>
        </w:rPr>
      </w:pPr>
      <w:r w:rsidRPr="00AC1E6F">
        <w:rPr>
          <w:rFonts w:ascii="Times New Roman" w:hAnsi="Times New Roman" w:cs="Times New Roman"/>
          <w:sz w:val="24"/>
          <w:szCs w:val="24"/>
        </w:rPr>
        <w:t>This section clarifies that providing</w:t>
      </w:r>
      <w:r>
        <w:rPr>
          <w:rFonts w:ascii="Times New Roman" w:hAnsi="Times New Roman" w:cs="Times New Roman"/>
          <w:sz w:val="24"/>
          <w:szCs w:val="24"/>
        </w:rPr>
        <w:t xml:space="preserve"> coronavirus-related assistance to an independent contractor or to the employee of another employer does not create an employment relationship between the person who provided the assistance and the person who received it. </w:t>
      </w:r>
    </w:p>
    <w:p w14:paraId="54EBB3B2" w14:textId="77777777" w:rsidR="00EB2781" w:rsidRDefault="00EB2781" w:rsidP="00EB2781">
      <w:pPr>
        <w:rPr>
          <w:rFonts w:ascii="Times New Roman" w:hAnsi="Times New Roman" w:cs="Times New Roman"/>
          <w:sz w:val="24"/>
          <w:szCs w:val="24"/>
        </w:rPr>
      </w:pPr>
      <w:r>
        <w:rPr>
          <w:rFonts w:ascii="Times New Roman" w:hAnsi="Times New Roman" w:cs="Times New Roman"/>
          <w:i/>
          <w:sz w:val="24"/>
          <w:szCs w:val="24"/>
        </w:rPr>
        <w:t xml:space="preserve">11184 – </w:t>
      </w:r>
      <w:r w:rsidRPr="005B3E96">
        <w:rPr>
          <w:rFonts w:ascii="Times New Roman" w:hAnsi="Times New Roman" w:cs="Times New Roman"/>
          <w:i/>
          <w:sz w:val="24"/>
          <w:szCs w:val="24"/>
        </w:rPr>
        <w:t>WARN Act modifications.</w:t>
      </w:r>
      <w:r>
        <w:rPr>
          <w:rFonts w:ascii="Times New Roman" w:hAnsi="Times New Roman" w:cs="Times New Roman"/>
          <w:sz w:val="24"/>
          <w:szCs w:val="24"/>
        </w:rPr>
        <w:t xml:space="preserve"> </w:t>
      </w:r>
    </w:p>
    <w:p w14:paraId="715993CB" w14:textId="77777777" w:rsidR="00EB2781" w:rsidRDefault="00EB2781" w:rsidP="00EB2781">
      <w:pPr>
        <w:rPr>
          <w:rFonts w:ascii="Times New Roman" w:hAnsi="Times New Roman" w:cs="Times New Roman"/>
          <w:sz w:val="24"/>
          <w:szCs w:val="24"/>
        </w:rPr>
      </w:pPr>
      <w:r>
        <w:rPr>
          <w:rFonts w:ascii="Times New Roman" w:hAnsi="Times New Roman" w:cs="Times New Roman"/>
          <w:sz w:val="24"/>
          <w:szCs w:val="24"/>
        </w:rPr>
        <w:t xml:space="preserve">This section creates an exception to employer </w:t>
      </w:r>
      <w:r w:rsidRPr="00AC1E6F">
        <w:rPr>
          <w:rFonts w:ascii="Times New Roman" w:hAnsi="Times New Roman" w:cs="Times New Roman"/>
          <w:sz w:val="24"/>
          <w:szCs w:val="24"/>
        </w:rPr>
        <w:t>notification laws that normally require a notice period for employment decisions made due to the coronavirus emergency.</w:t>
      </w:r>
      <w:r>
        <w:rPr>
          <w:rFonts w:ascii="Times New Roman" w:hAnsi="Times New Roman" w:cs="Times New Roman"/>
          <w:sz w:val="24"/>
          <w:szCs w:val="24"/>
        </w:rPr>
        <w:t xml:space="preserve"> </w:t>
      </w:r>
    </w:p>
    <w:p w14:paraId="1487D4AD" w14:textId="77777777" w:rsidR="00C313BB" w:rsidRPr="00C313BB" w:rsidRDefault="00C313BB" w:rsidP="00C313BB">
      <w:pPr>
        <w:rPr>
          <w:rFonts w:ascii="Times New Roman" w:hAnsi="Times New Roman" w:cs="Times New Roman"/>
          <w:b/>
          <w:sz w:val="24"/>
          <w:szCs w:val="24"/>
          <w:u w:val="single"/>
        </w:rPr>
      </w:pPr>
      <w:r w:rsidRPr="00C313BB">
        <w:rPr>
          <w:rFonts w:ascii="Times New Roman" w:hAnsi="Times New Roman" w:cs="Times New Roman"/>
          <w:b/>
          <w:sz w:val="24"/>
          <w:szCs w:val="24"/>
          <w:u w:val="single"/>
        </w:rPr>
        <w:t>Subtitle B. Products</w:t>
      </w:r>
    </w:p>
    <w:p w14:paraId="39F6A320" w14:textId="77777777" w:rsidR="00C313BB" w:rsidRPr="005B3E96" w:rsidRDefault="00C313BB" w:rsidP="00C313BB">
      <w:pPr>
        <w:rPr>
          <w:rFonts w:ascii="Times New Roman" w:hAnsi="Times New Roman" w:cs="Times New Roman"/>
          <w:i/>
          <w:sz w:val="24"/>
          <w:szCs w:val="24"/>
        </w:rPr>
      </w:pPr>
      <w:r w:rsidRPr="005B3E96">
        <w:rPr>
          <w:rFonts w:ascii="Times New Roman" w:hAnsi="Times New Roman" w:cs="Times New Roman"/>
          <w:i/>
          <w:sz w:val="24"/>
          <w:szCs w:val="24"/>
        </w:rPr>
        <w:t>11201 – Protections for Products</w:t>
      </w:r>
    </w:p>
    <w:p w14:paraId="45DCD7E5" w14:textId="77777777" w:rsidR="00EB2781" w:rsidRDefault="00C313BB" w:rsidP="00DE7CD5">
      <w:pPr>
        <w:rPr>
          <w:rFonts w:ascii="Times New Roman" w:hAnsi="Times New Roman" w:cs="Times New Roman"/>
          <w:sz w:val="24"/>
          <w:szCs w:val="24"/>
        </w:rPr>
      </w:pPr>
      <w:r>
        <w:rPr>
          <w:rFonts w:ascii="Times New Roman" w:hAnsi="Times New Roman" w:cs="Times New Roman"/>
          <w:sz w:val="24"/>
          <w:szCs w:val="24"/>
        </w:rPr>
        <w:t>L</w:t>
      </w:r>
      <w:r w:rsidRPr="008D459E">
        <w:rPr>
          <w:rFonts w:ascii="Times New Roman" w:hAnsi="Times New Roman" w:cs="Times New Roman"/>
          <w:sz w:val="24"/>
          <w:szCs w:val="24"/>
        </w:rPr>
        <w:t xml:space="preserve">imits liability for </w:t>
      </w:r>
      <w:r>
        <w:rPr>
          <w:rFonts w:ascii="Times New Roman" w:hAnsi="Times New Roman" w:cs="Times New Roman"/>
          <w:sz w:val="24"/>
          <w:szCs w:val="24"/>
        </w:rPr>
        <w:t xml:space="preserve">additional </w:t>
      </w:r>
      <w:r w:rsidRPr="008D459E">
        <w:rPr>
          <w:rFonts w:ascii="Times New Roman" w:hAnsi="Times New Roman" w:cs="Times New Roman"/>
          <w:sz w:val="24"/>
          <w:szCs w:val="24"/>
        </w:rPr>
        <w:t>products, such as types of PPE</w:t>
      </w:r>
      <w:r>
        <w:rPr>
          <w:rFonts w:ascii="Times New Roman" w:hAnsi="Times New Roman" w:cs="Times New Roman"/>
          <w:sz w:val="24"/>
          <w:szCs w:val="24"/>
        </w:rPr>
        <w:t xml:space="preserve"> and hand sanitizer</w:t>
      </w:r>
      <w:r w:rsidRPr="008D459E">
        <w:rPr>
          <w:rFonts w:ascii="Times New Roman" w:hAnsi="Times New Roman" w:cs="Times New Roman"/>
          <w:sz w:val="24"/>
          <w:szCs w:val="24"/>
        </w:rPr>
        <w:t>, if they meet certain FDA requirements.</w:t>
      </w:r>
      <w:r>
        <w:rPr>
          <w:rFonts w:ascii="Times New Roman" w:hAnsi="Times New Roman" w:cs="Times New Roman"/>
          <w:sz w:val="24"/>
          <w:szCs w:val="24"/>
        </w:rPr>
        <w:t xml:space="preserve"> </w:t>
      </w:r>
      <w:r w:rsidRPr="008D459E">
        <w:rPr>
          <w:rFonts w:ascii="Times New Roman" w:hAnsi="Times New Roman" w:cs="Times New Roman"/>
          <w:sz w:val="24"/>
          <w:szCs w:val="24"/>
        </w:rPr>
        <w:t xml:space="preserve">Clarifies liability protections based on methods of distribution of </w:t>
      </w:r>
      <w:r w:rsidR="00BA1064">
        <w:rPr>
          <w:rFonts w:ascii="Times New Roman" w:hAnsi="Times New Roman" w:cs="Times New Roman"/>
          <w:sz w:val="24"/>
          <w:szCs w:val="24"/>
        </w:rPr>
        <w:t xml:space="preserve">approved </w:t>
      </w:r>
      <w:r w:rsidRPr="008D459E">
        <w:rPr>
          <w:rFonts w:ascii="Times New Roman" w:hAnsi="Times New Roman" w:cs="Times New Roman"/>
          <w:sz w:val="24"/>
          <w:szCs w:val="24"/>
        </w:rPr>
        <w:t>countermeasures.</w:t>
      </w:r>
    </w:p>
    <w:p w14:paraId="44533ACB" w14:textId="77777777" w:rsidR="00E66531" w:rsidRPr="00C313BB" w:rsidRDefault="00E66531" w:rsidP="00E66531">
      <w:pPr>
        <w:rPr>
          <w:rFonts w:ascii="Times New Roman" w:hAnsi="Times New Roman" w:cs="Times New Roman"/>
          <w:b/>
          <w:sz w:val="24"/>
          <w:szCs w:val="24"/>
          <w:u w:val="single"/>
        </w:rPr>
      </w:pPr>
      <w:r w:rsidRPr="00C313BB">
        <w:rPr>
          <w:rFonts w:ascii="Times New Roman" w:hAnsi="Times New Roman" w:cs="Times New Roman"/>
          <w:b/>
          <w:sz w:val="24"/>
          <w:szCs w:val="24"/>
          <w:u w:val="single"/>
        </w:rPr>
        <w:t xml:space="preserve">Subtitle C. </w:t>
      </w:r>
      <w:r w:rsidR="00877CE6" w:rsidRPr="00C313BB">
        <w:rPr>
          <w:rFonts w:ascii="Times New Roman" w:hAnsi="Times New Roman" w:cs="Times New Roman"/>
          <w:b/>
          <w:sz w:val="24"/>
          <w:szCs w:val="24"/>
          <w:u w:val="single"/>
        </w:rPr>
        <w:t>General Provisions</w:t>
      </w:r>
    </w:p>
    <w:p w14:paraId="480345FA" w14:textId="77777777" w:rsidR="00E66531" w:rsidRDefault="00E66531" w:rsidP="00E66531">
      <w:pPr>
        <w:rPr>
          <w:rFonts w:ascii="Times New Roman" w:hAnsi="Times New Roman" w:cs="Times New Roman"/>
          <w:sz w:val="24"/>
          <w:szCs w:val="24"/>
        </w:rPr>
      </w:pPr>
      <w:r w:rsidRPr="005B3E96">
        <w:rPr>
          <w:rFonts w:ascii="Times New Roman" w:hAnsi="Times New Roman" w:cs="Times New Roman"/>
          <w:i/>
          <w:sz w:val="24"/>
          <w:szCs w:val="24"/>
        </w:rPr>
        <w:t xml:space="preserve">11301 – Severability. </w:t>
      </w:r>
    </w:p>
    <w:p w14:paraId="40A0658E" w14:textId="77777777" w:rsidR="003B4B89" w:rsidRPr="003B4B89" w:rsidRDefault="003B4B89" w:rsidP="00E66531">
      <w:pPr>
        <w:rPr>
          <w:rFonts w:ascii="Times New Roman" w:hAnsi="Times New Roman" w:cs="Times New Roman"/>
          <w:sz w:val="24"/>
          <w:szCs w:val="24"/>
        </w:rPr>
      </w:pPr>
      <w:r>
        <w:rPr>
          <w:rFonts w:ascii="Times New Roman" w:hAnsi="Times New Roman" w:cs="Times New Roman"/>
          <w:sz w:val="24"/>
          <w:szCs w:val="24"/>
        </w:rPr>
        <w:t xml:space="preserve">Provides that if a court holds any provision of the statute unconstitutional, </w:t>
      </w:r>
      <w:r w:rsidR="00877CE6">
        <w:rPr>
          <w:rFonts w:ascii="Times New Roman" w:hAnsi="Times New Roman" w:cs="Times New Roman"/>
          <w:sz w:val="24"/>
          <w:szCs w:val="24"/>
        </w:rPr>
        <w:t xml:space="preserve">the remaining provisions of the statute remain intact.  It also </w:t>
      </w:r>
      <w:r w:rsidR="00EB2781">
        <w:rPr>
          <w:rFonts w:ascii="Times New Roman" w:hAnsi="Times New Roman" w:cs="Times New Roman"/>
          <w:sz w:val="24"/>
          <w:szCs w:val="24"/>
        </w:rPr>
        <w:t xml:space="preserve">limits that finding to the affected plaintiff and </w:t>
      </w:r>
      <w:r w:rsidR="00EB2781">
        <w:rPr>
          <w:rFonts w:ascii="Times New Roman" w:hAnsi="Times New Roman" w:cs="Times New Roman"/>
          <w:sz w:val="24"/>
          <w:szCs w:val="24"/>
        </w:rPr>
        <w:lastRenderedPageBreak/>
        <w:t xml:space="preserve">others similarly situation, so the provision would </w:t>
      </w:r>
      <w:r w:rsidR="00877CE6">
        <w:rPr>
          <w:rFonts w:ascii="Times New Roman" w:hAnsi="Times New Roman" w:cs="Times New Roman"/>
          <w:sz w:val="24"/>
          <w:szCs w:val="24"/>
        </w:rPr>
        <w:t xml:space="preserve">continue to apply to persons and circumstances other than those in the case holding it unconstitutional.  </w:t>
      </w:r>
    </w:p>
    <w:p w14:paraId="6464DB57" w14:textId="77777777" w:rsidR="00244BC7" w:rsidRDefault="00244BC7"/>
    <w:sectPr w:rsidR="00244B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67E140" w16cid:durableId="22C1CF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F0C1F" w14:textId="77777777" w:rsidR="00006655" w:rsidRDefault="00006655" w:rsidP="00DE7CD5">
      <w:pPr>
        <w:spacing w:after="0" w:line="240" w:lineRule="auto"/>
      </w:pPr>
      <w:r>
        <w:separator/>
      </w:r>
    </w:p>
  </w:endnote>
  <w:endnote w:type="continuationSeparator" w:id="0">
    <w:p w14:paraId="437458BD" w14:textId="77777777" w:rsidR="00006655" w:rsidRDefault="00006655" w:rsidP="00DE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D3CA" w14:textId="77777777" w:rsidR="00FF4B35" w:rsidRDefault="00FF4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700087916"/>
      <w:docPartObj>
        <w:docPartGallery w:val="Page Numbers (Bottom of Page)"/>
        <w:docPartUnique/>
      </w:docPartObj>
    </w:sdtPr>
    <w:sdtEndPr>
      <w:rPr>
        <w:noProof/>
      </w:rPr>
    </w:sdtEndPr>
    <w:sdtContent>
      <w:p w14:paraId="3C8FFE20" w14:textId="7E9FCD76" w:rsidR="00DE7CD5" w:rsidRPr="00DE7CD5" w:rsidRDefault="00DE7CD5">
        <w:pPr>
          <w:pStyle w:val="Footer"/>
          <w:jc w:val="center"/>
          <w:rPr>
            <w:rFonts w:ascii="Times New Roman" w:hAnsi="Times New Roman" w:cs="Times New Roman"/>
          </w:rPr>
        </w:pPr>
        <w:r w:rsidRPr="00DE7CD5">
          <w:rPr>
            <w:rFonts w:ascii="Times New Roman" w:hAnsi="Times New Roman" w:cs="Times New Roman"/>
          </w:rPr>
          <w:fldChar w:fldCharType="begin"/>
        </w:r>
        <w:r w:rsidRPr="00DE7CD5">
          <w:rPr>
            <w:rFonts w:ascii="Times New Roman" w:hAnsi="Times New Roman" w:cs="Times New Roman"/>
          </w:rPr>
          <w:instrText xml:space="preserve"> PAGE   \* MERGEFORMAT </w:instrText>
        </w:r>
        <w:r w:rsidRPr="00DE7CD5">
          <w:rPr>
            <w:rFonts w:ascii="Times New Roman" w:hAnsi="Times New Roman" w:cs="Times New Roman"/>
          </w:rPr>
          <w:fldChar w:fldCharType="separate"/>
        </w:r>
        <w:r w:rsidR="008C079E">
          <w:rPr>
            <w:rFonts w:ascii="Times New Roman" w:hAnsi="Times New Roman" w:cs="Times New Roman"/>
            <w:noProof/>
          </w:rPr>
          <w:t>2</w:t>
        </w:r>
        <w:r w:rsidRPr="00DE7CD5">
          <w:rPr>
            <w:rFonts w:ascii="Times New Roman" w:hAnsi="Times New Roman" w:cs="Times New Roman"/>
            <w:noProof/>
          </w:rPr>
          <w:fldChar w:fldCharType="end"/>
        </w:r>
      </w:p>
    </w:sdtContent>
  </w:sdt>
  <w:p w14:paraId="7B14E624" w14:textId="77777777" w:rsidR="00DE7CD5" w:rsidRDefault="00DE7C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EDDDD" w14:textId="77777777" w:rsidR="00FF4B35" w:rsidRDefault="00FF4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631AD" w14:textId="77777777" w:rsidR="00006655" w:rsidRDefault="00006655" w:rsidP="00DE7CD5">
      <w:pPr>
        <w:spacing w:after="0" w:line="240" w:lineRule="auto"/>
      </w:pPr>
      <w:r>
        <w:separator/>
      </w:r>
    </w:p>
  </w:footnote>
  <w:footnote w:type="continuationSeparator" w:id="0">
    <w:p w14:paraId="1AC14CDC" w14:textId="77777777" w:rsidR="00006655" w:rsidRDefault="00006655" w:rsidP="00DE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44E77" w14:textId="77777777" w:rsidR="00FF4B35" w:rsidRDefault="00FF4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F4798" w14:textId="77777777" w:rsidR="00FF4B35" w:rsidRDefault="00FF4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86344" w14:textId="77777777" w:rsidR="00FF4B35" w:rsidRDefault="00FF4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64"/>
    <w:multiLevelType w:val="hybridMultilevel"/>
    <w:tmpl w:val="FAB6A71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6BC0E5C"/>
    <w:multiLevelType w:val="hybridMultilevel"/>
    <w:tmpl w:val="0490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77FF3"/>
    <w:multiLevelType w:val="hybridMultilevel"/>
    <w:tmpl w:val="A2FE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C13A8"/>
    <w:multiLevelType w:val="hybridMultilevel"/>
    <w:tmpl w:val="B466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51261"/>
    <w:multiLevelType w:val="hybridMultilevel"/>
    <w:tmpl w:val="DB6099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C531B8D"/>
    <w:multiLevelType w:val="hybridMultilevel"/>
    <w:tmpl w:val="6988E1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31"/>
    <w:rsid w:val="00006655"/>
    <w:rsid w:val="00244BC7"/>
    <w:rsid w:val="003B4B89"/>
    <w:rsid w:val="00411CA1"/>
    <w:rsid w:val="00550D65"/>
    <w:rsid w:val="00572165"/>
    <w:rsid w:val="005B3E96"/>
    <w:rsid w:val="00746FB9"/>
    <w:rsid w:val="007D0F21"/>
    <w:rsid w:val="007D5893"/>
    <w:rsid w:val="0082680B"/>
    <w:rsid w:val="00845DED"/>
    <w:rsid w:val="00877CE6"/>
    <w:rsid w:val="008B7F13"/>
    <w:rsid w:val="008C079E"/>
    <w:rsid w:val="0092097B"/>
    <w:rsid w:val="00AC0713"/>
    <w:rsid w:val="00AC1E6F"/>
    <w:rsid w:val="00AF4744"/>
    <w:rsid w:val="00B07B50"/>
    <w:rsid w:val="00B21DB0"/>
    <w:rsid w:val="00BA1064"/>
    <w:rsid w:val="00C313BB"/>
    <w:rsid w:val="00DE635E"/>
    <w:rsid w:val="00DE7CD5"/>
    <w:rsid w:val="00E03631"/>
    <w:rsid w:val="00E23B3A"/>
    <w:rsid w:val="00E66531"/>
    <w:rsid w:val="00E76932"/>
    <w:rsid w:val="00EB2781"/>
    <w:rsid w:val="00F43513"/>
    <w:rsid w:val="00FB1E31"/>
    <w:rsid w:val="00FE0127"/>
    <w:rsid w:val="00FF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2FA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E96"/>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92097B"/>
    <w:pPr>
      <w:ind w:left="720"/>
      <w:contextualSpacing/>
    </w:pPr>
  </w:style>
  <w:style w:type="paragraph" w:styleId="Header">
    <w:name w:val="header"/>
    <w:basedOn w:val="Normal"/>
    <w:link w:val="HeaderChar"/>
    <w:uiPriority w:val="99"/>
    <w:unhideWhenUsed/>
    <w:rsid w:val="00DE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CD5"/>
  </w:style>
  <w:style w:type="paragraph" w:styleId="Footer">
    <w:name w:val="footer"/>
    <w:basedOn w:val="Normal"/>
    <w:link w:val="FooterChar"/>
    <w:uiPriority w:val="99"/>
    <w:unhideWhenUsed/>
    <w:rsid w:val="00DE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CD5"/>
  </w:style>
  <w:style w:type="paragraph" w:styleId="BalloonText">
    <w:name w:val="Balloon Text"/>
    <w:basedOn w:val="Normal"/>
    <w:link w:val="BalloonTextChar"/>
    <w:uiPriority w:val="99"/>
    <w:semiHidden/>
    <w:unhideWhenUsed/>
    <w:rsid w:val="00EB2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781"/>
    <w:rPr>
      <w:rFonts w:ascii="Segoe UI" w:hAnsi="Segoe UI" w:cs="Segoe UI"/>
      <w:sz w:val="18"/>
      <w:szCs w:val="18"/>
    </w:rPr>
  </w:style>
  <w:style w:type="character" w:styleId="CommentReference">
    <w:name w:val="annotation reference"/>
    <w:basedOn w:val="DefaultParagraphFont"/>
    <w:uiPriority w:val="99"/>
    <w:semiHidden/>
    <w:unhideWhenUsed/>
    <w:rsid w:val="00572165"/>
    <w:rPr>
      <w:sz w:val="16"/>
      <w:szCs w:val="16"/>
    </w:rPr>
  </w:style>
  <w:style w:type="paragraph" w:styleId="CommentText">
    <w:name w:val="annotation text"/>
    <w:basedOn w:val="Normal"/>
    <w:link w:val="CommentTextChar"/>
    <w:uiPriority w:val="99"/>
    <w:semiHidden/>
    <w:unhideWhenUsed/>
    <w:rsid w:val="00572165"/>
    <w:pPr>
      <w:spacing w:line="240" w:lineRule="auto"/>
    </w:pPr>
    <w:rPr>
      <w:sz w:val="20"/>
      <w:szCs w:val="20"/>
    </w:rPr>
  </w:style>
  <w:style w:type="character" w:customStyle="1" w:styleId="CommentTextChar">
    <w:name w:val="Comment Text Char"/>
    <w:basedOn w:val="DefaultParagraphFont"/>
    <w:link w:val="CommentText"/>
    <w:uiPriority w:val="99"/>
    <w:semiHidden/>
    <w:rsid w:val="00572165"/>
    <w:rPr>
      <w:sz w:val="20"/>
      <w:szCs w:val="20"/>
    </w:rPr>
  </w:style>
  <w:style w:type="paragraph" w:styleId="CommentSubject">
    <w:name w:val="annotation subject"/>
    <w:basedOn w:val="CommentText"/>
    <w:next w:val="CommentText"/>
    <w:link w:val="CommentSubjectChar"/>
    <w:uiPriority w:val="99"/>
    <w:semiHidden/>
    <w:unhideWhenUsed/>
    <w:rsid w:val="00572165"/>
    <w:rPr>
      <w:b/>
      <w:bCs/>
    </w:rPr>
  </w:style>
  <w:style w:type="character" w:customStyle="1" w:styleId="CommentSubjectChar">
    <w:name w:val="Comment Subject Char"/>
    <w:basedOn w:val="CommentTextChar"/>
    <w:link w:val="CommentSubject"/>
    <w:uiPriority w:val="99"/>
    <w:semiHidden/>
    <w:rsid w:val="00572165"/>
    <w:rPr>
      <w:b/>
      <w:bCs/>
      <w:sz w:val="20"/>
      <w:szCs w:val="20"/>
    </w:rPr>
  </w:style>
  <w:style w:type="paragraph" w:styleId="Revision">
    <w:name w:val="Revision"/>
    <w:hidden/>
    <w:uiPriority w:val="99"/>
    <w:semiHidden/>
    <w:rsid w:val="005721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2020-07-23T12:11:00Z</dcterms:created>
  <dcterms:modified xsi:type="dcterms:W3CDTF">2020-07-23T12:11:00Z</dcterms:modified>
</cp:coreProperties>
</file>